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3D7" w:rsidRDefault="00D473D7" w:rsidP="00CE51EF">
      <w:pPr>
        <w:pStyle w:val="PreformattatoHTML"/>
        <w:jc w:val="center"/>
        <w:rPr>
          <w:rFonts w:ascii="Arial" w:hAnsi="Arial" w:cs="Arial"/>
          <w:i/>
          <w:sz w:val="22"/>
          <w:szCs w:val="22"/>
          <w:u w:val="single"/>
        </w:rPr>
      </w:pPr>
      <w:r>
        <w:rPr>
          <w:noProof/>
        </w:rPr>
        <w:drawing>
          <wp:anchor distT="0" distB="0" distL="114300" distR="114300" simplePos="0" relativeHeight="251658240" behindDoc="0" locked="0" layoutInCell="1" allowOverlap="1">
            <wp:simplePos x="0" y="0"/>
            <wp:positionH relativeFrom="column">
              <wp:posOffset>3810</wp:posOffset>
            </wp:positionH>
            <wp:positionV relativeFrom="paragraph">
              <wp:posOffset>-405765</wp:posOffset>
            </wp:positionV>
            <wp:extent cx="6120130" cy="1324610"/>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120130" cy="1324610"/>
                    </a:xfrm>
                    <a:prstGeom prst="rect">
                      <a:avLst/>
                    </a:prstGeom>
                  </pic:spPr>
                </pic:pic>
              </a:graphicData>
            </a:graphic>
          </wp:anchor>
        </w:drawing>
      </w:r>
    </w:p>
    <w:p w:rsidR="00D473D7" w:rsidRDefault="00D473D7" w:rsidP="00CE51EF">
      <w:pPr>
        <w:pStyle w:val="PreformattatoHTML"/>
        <w:jc w:val="center"/>
        <w:rPr>
          <w:rFonts w:ascii="Arial" w:hAnsi="Arial" w:cs="Arial"/>
          <w:i/>
          <w:sz w:val="22"/>
          <w:szCs w:val="22"/>
          <w:u w:val="single"/>
        </w:rPr>
      </w:pPr>
    </w:p>
    <w:p w:rsidR="00823039" w:rsidRDefault="00112FD1" w:rsidP="00CE51EF">
      <w:pPr>
        <w:pStyle w:val="PreformattatoHTML"/>
        <w:jc w:val="center"/>
        <w:rPr>
          <w:rFonts w:ascii="Arial" w:hAnsi="Arial" w:cs="Arial"/>
          <w:i/>
          <w:sz w:val="22"/>
          <w:szCs w:val="22"/>
          <w:u w:val="single"/>
        </w:rPr>
      </w:pPr>
      <w:r w:rsidRPr="00112FD1">
        <w:rPr>
          <w:rFonts w:ascii="Arial" w:hAnsi="Arial" w:cs="Arial"/>
          <w:i/>
          <w:sz w:val="22"/>
          <w:szCs w:val="22"/>
          <w:u w:val="single"/>
        </w:rPr>
        <w:t>Comunicato stampa</w:t>
      </w:r>
    </w:p>
    <w:p w:rsidR="00076DDE" w:rsidRPr="00112FD1" w:rsidRDefault="00076DDE" w:rsidP="00CE51EF">
      <w:pPr>
        <w:pStyle w:val="PreformattatoHTML"/>
        <w:jc w:val="center"/>
        <w:rPr>
          <w:rFonts w:ascii="Arial" w:hAnsi="Arial" w:cs="Arial"/>
          <w:i/>
          <w:sz w:val="22"/>
          <w:szCs w:val="22"/>
          <w:u w:val="single"/>
        </w:rPr>
      </w:pPr>
    </w:p>
    <w:p w:rsidR="00112FD1" w:rsidRDefault="00112FD1" w:rsidP="00CE51EF">
      <w:pPr>
        <w:pStyle w:val="PreformattatoHTML"/>
        <w:jc w:val="center"/>
        <w:rPr>
          <w:rFonts w:ascii="Arial" w:hAnsi="Arial" w:cs="Arial"/>
          <w:b/>
          <w:sz w:val="22"/>
          <w:szCs w:val="22"/>
        </w:rPr>
      </w:pPr>
    </w:p>
    <w:p w:rsidR="008028BA" w:rsidRPr="008028BA" w:rsidRDefault="008028BA" w:rsidP="008028BA">
      <w:pPr>
        <w:pStyle w:val="PreformattatoHTML"/>
        <w:jc w:val="center"/>
        <w:rPr>
          <w:rFonts w:ascii="Arial" w:hAnsi="Arial" w:cs="Arial"/>
          <w:b/>
          <w:bCs/>
          <w:sz w:val="36"/>
          <w:szCs w:val="36"/>
        </w:rPr>
      </w:pPr>
      <w:r w:rsidRPr="008028BA">
        <w:rPr>
          <w:rFonts w:ascii="Arial" w:hAnsi="Arial" w:cs="Arial"/>
          <w:b/>
          <w:bCs/>
          <w:sz w:val="36"/>
          <w:szCs w:val="36"/>
        </w:rPr>
        <w:t>Spesa farmaceutica: dal DL enti territoriali vantaggi aleatori e guasti permanenti</w:t>
      </w:r>
    </w:p>
    <w:p w:rsidR="00E06D12" w:rsidRDefault="00E06D12" w:rsidP="00CB1CE7">
      <w:pPr>
        <w:pStyle w:val="PreformattatoHTML"/>
        <w:jc w:val="center"/>
        <w:rPr>
          <w:rFonts w:ascii="Arial" w:hAnsi="Arial" w:cs="Arial"/>
          <w:b/>
          <w:sz w:val="22"/>
          <w:szCs w:val="22"/>
        </w:rPr>
      </w:pPr>
    </w:p>
    <w:p w:rsidR="002B3E9F" w:rsidRDefault="002B3E9F" w:rsidP="00CE51EF">
      <w:pPr>
        <w:pStyle w:val="PreformattatoHTML"/>
        <w:jc w:val="center"/>
        <w:rPr>
          <w:rFonts w:ascii="Arial" w:hAnsi="Arial" w:cs="Arial"/>
          <w:b/>
          <w:sz w:val="22"/>
          <w:szCs w:val="22"/>
        </w:rPr>
      </w:pPr>
    </w:p>
    <w:p w:rsidR="000E7F8F" w:rsidRPr="000E7F8F" w:rsidRDefault="00CB1CE7" w:rsidP="000E7F8F">
      <w:pPr>
        <w:jc w:val="both"/>
        <w:rPr>
          <w:rFonts w:ascii="Arial" w:eastAsia="Calibri" w:hAnsi="Arial" w:cs="Arial"/>
          <w:sz w:val="22"/>
          <w:szCs w:val="22"/>
          <w:lang w:eastAsia="en-US"/>
        </w:rPr>
      </w:pPr>
      <w:r>
        <w:rPr>
          <w:rFonts w:ascii="Arial" w:eastAsia="Calibri" w:hAnsi="Arial" w:cs="Arial"/>
          <w:b/>
          <w:sz w:val="22"/>
          <w:szCs w:val="22"/>
          <w:lang w:eastAsia="en-US"/>
        </w:rPr>
        <w:t xml:space="preserve">Roma, </w:t>
      </w:r>
      <w:r w:rsidR="0057534E">
        <w:rPr>
          <w:rFonts w:ascii="Arial" w:eastAsia="Calibri" w:hAnsi="Arial" w:cs="Arial"/>
          <w:b/>
          <w:sz w:val="22"/>
          <w:szCs w:val="22"/>
          <w:lang w:eastAsia="en-US"/>
        </w:rPr>
        <w:t>11 luglio</w:t>
      </w:r>
      <w:r>
        <w:rPr>
          <w:rFonts w:ascii="Arial" w:eastAsia="Calibri" w:hAnsi="Arial" w:cs="Arial"/>
          <w:b/>
          <w:sz w:val="22"/>
          <w:szCs w:val="22"/>
          <w:lang w:eastAsia="en-US"/>
        </w:rPr>
        <w:t xml:space="preserve"> 2016</w:t>
      </w:r>
      <w:r w:rsidR="00C10325" w:rsidRPr="00C10325">
        <w:rPr>
          <w:rFonts w:ascii="Arial" w:eastAsia="Calibri" w:hAnsi="Arial" w:cs="Arial"/>
          <w:b/>
          <w:sz w:val="22"/>
          <w:szCs w:val="22"/>
          <w:lang w:eastAsia="en-US"/>
        </w:rPr>
        <w:t xml:space="preserve"> – </w:t>
      </w:r>
      <w:r w:rsidR="000E7F8F" w:rsidRPr="000E7F8F">
        <w:rPr>
          <w:rFonts w:ascii="Arial" w:eastAsia="Calibri" w:hAnsi="Arial" w:cs="Arial"/>
          <w:sz w:val="22"/>
          <w:szCs w:val="22"/>
          <w:lang w:eastAsia="en-US"/>
        </w:rPr>
        <w:t xml:space="preserve">“Nessuno nega che la situazione delle Regioni sia effettivamente critica, e non soltanto per quanto attiene la spesa farmaceutica, ma non crediamo che spingere al fallimento molte aziende del settore dei medicinali equivalenti sia una soluzione: né per la spesa sanitaria né per l’economia italiana nel suo complesso” dice il </w:t>
      </w:r>
      <w:r w:rsidR="000E7F8F" w:rsidRPr="000E7F8F">
        <w:rPr>
          <w:rFonts w:ascii="Arial" w:eastAsia="Calibri" w:hAnsi="Arial" w:cs="Arial"/>
          <w:b/>
          <w:sz w:val="22"/>
          <w:szCs w:val="22"/>
          <w:lang w:eastAsia="en-US"/>
        </w:rPr>
        <w:t>presidente di Assogenerici Enrique Häusermann</w:t>
      </w:r>
      <w:r w:rsidR="000E7F8F" w:rsidRPr="000E7F8F">
        <w:rPr>
          <w:rFonts w:ascii="Arial" w:eastAsia="Calibri" w:hAnsi="Arial" w:cs="Arial"/>
          <w:sz w:val="22"/>
          <w:szCs w:val="22"/>
          <w:lang w:eastAsia="en-US"/>
        </w:rPr>
        <w:t>. Questo sarebbe infatti il risultato delle prime stime dell’effetto dell’ultimo decreto sul ripiano della spesa 2013-2015 (DL Enti Territoriali 113/2016), ancorato al meccanismo di pay-back, che per alcune aziende, principalmente PMI, avrebbe un impatto dell’ordine del 20-30% del fatturato. Le maggiori preoccupazioni si concentrano sul settore ospedaliero, dove a carico delle aziende rappresentate da Assogenerici si calcola un ripiano di oltre 65 milioni di euro su un mercato che, annualmente, ne vale circa 340. “E si tenga presente” prosegue Häusermann “che nel caso dei farmaci ospedalieri gli equivalenti rappresentano il vero principale motor</w:t>
      </w:r>
      <w:bookmarkStart w:id="0" w:name="_GoBack"/>
      <w:bookmarkEnd w:id="0"/>
      <w:r w:rsidR="000E7F8F" w:rsidRPr="000E7F8F">
        <w:rPr>
          <w:rFonts w:ascii="Arial" w:eastAsia="Calibri" w:hAnsi="Arial" w:cs="Arial"/>
          <w:sz w:val="22"/>
          <w:szCs w:val="22"/>
          <w:lang w:eastAsia="en-US"/>
        </w:rPr>
        <w:t>e della concorrenza e, quindi, del risparmio: entrando in gara al prezzo più basso per prodotti a volumi costanti, non si vede in quale modo i farmaci equivalenti possano essere responsabili del superamento del tetto di spesa”. E’ evidente che le singole aziende restano libere di definire le proprie decisioni legali e finanziarie, Assogenerici dal canto suo non può che denunciare un metodo, quello dell’azione per decreto, che ha provocato, oggi come in passato, guasti permanenti a tutto il comparto a fronte di un sollievo “contabile” temporaneo, forzato e profondamente ingiusto nei criteri di calcolo. “Apprezziamo che sia stato posto un termine entro il quale procedere a una reale riforma della governance della spesa farmaceutica, riforma che chiediamo da mesi così come chiediamo di poter presentare il complesso delle nostre proposte. Tutte le condizioni formali per avviare finalmente questo percorso ci sono, mancano ora passi concreti che non possono essere più rimandati” conclude il presidente di Assogenerici.</w:t>
      </w:r>
    </w:p>
    <w:p w:rsidR="008B06A3" w:rsidRDefault="008B06A3" w:rsidP="008B06A3">
      <w:pPr>
        <w:jc w:val="both"/>
        <w:rPr>
          <w:color w:val="1F497D"/>
        </w:rPr>
      </w:pPr>
    </w:p>
    <w:p w:rsidR="008B06A3" w:rsidRDefault="008B06A3" w:rsidP="008B06A3">
      <w:pPr>
        <w:jc w:val="both"/>
        <w:rPr>
          <w:color w:val="1F497D"/>
        </w:rPr>
      </w:pPr>
    </w:p>
    <w:p w:rsidR="008B06A3" w:rsidRDefault="008B06A3" w:rsidP="008B06A3">
      <w:pPr>
        <w:jc w:val="both"/>
        <w:rPr>
          <w:color w:val="1F497D"/>
        </w:rPr>
      </w:pPr>
    </w:p>
    <w:p w:rsidR="00AF6D7E" w:rsidRPr="008E3D6B" w:rsidRDefault="00AF6D7E" w:rsidP="006C060B">
      <w:pPr>
        <w:spacing w:line="276" w:lineRule="auto"/>
        <w:jc w:val="both"/>
        <w:rPr>
          <w:rFonts w:ascii="Arial" w:eastAsia="Calibri" w:hAnsi="Arial" w:cs="Arial"/>
          <w:b/>
          <w:color w:val="000000"/>
          <w:sz w:val="22"/>
          <w:szCs w:val="22"/>
          <w:lang w:eastAsia="en-US"/>
        </w:rPr>
      </w:pPr>
    </w:p>
    <w:p w:rsidR="006C060B" w:rsidRPr="008E3D6B" w:rsidRDefault="008E3D6B" w:rsidP="006C060B">
      <w:pPr>
        <w:spacing w:line="276" w:lineRule="auto"/>
        <w:jc w:val="both"/>
        <w:rPr>
          <w:rFonts w:ascii="Arial" w:eastAsia="Calibri" w:hAnsi="Arial" w:cs="Arial"/>
          <w:b/>
          <w:color w:val="000000"/>
          <w:sz w:val="22"/>
          <w:szCs w:val="22"/>
          <w:lang w:eastAsia="en-US"/>
        </w:rPr>
      </w:pPr>
      <w:r w:rsidRPr="008E3D6B">
        <w:rPr>
          <w:rFonts w:ascii="Arial" w:eastAsia="Calibri" w:hAnsi="Arial" w:cs="Arial"/>
          <w:b/>
          <w:color w:val="000000"/>
          <w:sz w:val="22"/>
          <w:szCs w:val="22"/>
          <w:lang w:eastAsia="en-US"/>
        </w:rPr>
        <w:t>Per ulteriori informazioni:</w:t>
      </w:r>
    </w:p>
    <w:p w:rsidR="006C060B" w:rsidRPr="007D75BE" w:rsidRDefault="006C060B" w:rsidP="006C060B">
      <w:pPr>
        <w:spacing w:line="276" w:lineRule="auto"/>
        <w:jc w:val="both"/>
        <w:rPr>
          <w:rFonts w:ascii="Arial" w:eastAsia="Calibri" w:hAnsi="Arial" w:cs="Arial"/>
          <w:b/>
          <w:sz w:val="22"/>
          <w:szCs w:val="22"/>
        </w:rPr>
      </w:pPr>
    </w:p>
    <w:p w:rsidR="00522C06" w:rsidRDefault="008E3D6B">
      <w:pPr>
        <w:rPr>
          <w:rFonts w:ascii="Arial" w:eastAsia="Calibri" w:hAnsi="Arial" w:cs="Arial"/>
          <w:sz w:val="22"/>
          <w:szCs w:val="22"/>
        </w:rPr>
      </w:pPr>
      <w:r>
        <w:rPr>
          <w:noProof/>
        </w:rPr>
        <w:drawing>
          <wp:inline distT="0" distB="0" distL="0" distR="0">
            <wp:extent cx="1581150" cy="180975"/>
            <wp:effectExtent l="0" t="0" r="0" b="9525"/>
            <wp:docPr id="1" name="Immagine 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150" cy="180975"/>
                    </a:xfrm>
                    <a:prstGeom prst="rect">
                      <a:avLst/>
                    </a:prstGeom>
                    <a:noFill/>
                    <a:ln>
                      <a:noFill/>
                    </a:ln>
                  </pic:spPr>
                </pic:pic>
              </a:graphicData>
            </a:graphic>
          </wp:inline>
        </w:drawing>
      </w:r>
      <w:r w:rsidR="00C10325">
        <w:rPr>
          <w:rFonts w:ascii="Arial" w:eastAsia="Calibri" w:hAnsi="Arial" w:cs="Arial"/>
          <w:sz w:val="22"/>
          <w:szCs w:val="22"/>
        </w:rPr>
        <w:br/>
        <w:t>Ufficio Stampa Assog</w:t>
      </w:r>
      <w:r w:rsidR="007D75BE" w:rsidRPr="007D75BE">
        <w:rPr>
          <w:rFonts w:ascii="Arial" w:eastAsia="Calibri" w:hAnsi="Arial" w:cs="Arial"/>
          <w:sz w:val="22"/>
          <w:szCs w:val="22"/>
        </w:rPr>
        <w:t>enerici</w:t>
      </w:r>
      <w:r w:rsidR="007D75BE" w:rsidRPr="007D75BE">
        <w:rPr>
          <w:rFonts w:ascii="Arial" w:eastAsia="Calibri" w:hAnsi="Arial" w:cs="Arial"/>
          <w:sz w:val="22"/>
          <w:szCs w:val="22"/>
        </w:rPr>
        <w:br/>
        <w:t>tel. 02/2042491</w:t>
      </w:r>
    </w:p>
    <w:p w:rsidR="00900BD6" w:rsidRDefault="007D75BE">
      <w:r w:rsidRPr="007D75BE">
        <w:rPr>
          <w:rFonts w:ascii="Arial" w:eastAsia="Calibri" w:hAnsi="Arial" w:cs="Arial"/>
          <w:sz w:val="22"/>
          <w:szCs w:val="22"/>
        </w:rPr>
        <w:t>Massimo Cher</w:t>
      </w:r>
      <w:r w:rsidR="00441586">
        <w:rPr>
          <w:rFonts w:ascii="Arial" w:eastAsia="Calibri" w:hAnsi="Arial" w:cs="Arial"/>
          <w:sz w:val="22"/>
          <w:szCs w:val="22"/>
        </w:rPr>
        <w:t>ubini - cellulare 335/8231</w:t>
      </w:r>
      <w:r w:rsidRPr="007D75BE">
        <w:rPr>
          <w:rFonts w:ascii="Arial" w:eastAsia="Calibri" w:hAnsi="Arial" w:cs="Arial"/>
          <w:sz w:val="22"/>
          <w:szCs w:val="22"/>
        </w:rPr>
        <w:t>700</w:t>
      </w:r>
      <w:r w:rsidRPr="007D75BE">
        <w:rPr>
          <w:rFonts w:ascii="Arial" w:eastAsia="Calibri" w:hAnsi="Arial" w:cs="Arial"/>
          <w:sz w:val="22"/>
          <w:szCs w:val="22"/>
        </w:rPr>
        <w:br/>
        <w:t xml:space="preserve">e-mail: </w:t>
      </w:r>
      <w:hyperlink r:id="rId9" w:history="1">
        <w:r w:rsidRPr="007D75BE">
          <w:rPr>
            <w:rFonts w:ascii="Arial" w:eastAsia="Calibri" w:hAnsi="Arial" w:cs="Arial"/>
            <w:color w:val="0000FF"/>
            <w:sz w:val="22"/>
            <w:szCs w:val="22"/>
            <w:u w:val="single"/>
          </w:rPr>
          <w:t>m.cherubini@vrelations.it</w:t>
        </w:r>
      </w:hyperlink>
    </w:p>
    <w:sectPr w:rsidR="00900BD6" w:rsidSect="008B06A3">
      <w:headerReference w:type="default" r:id="rId10"/>
      <w:footerReference w:type="default" r:id="rId11"/>
      <w:pgSz w:w="11906" w:h="16838"/>
      <w:pgMar w:top="284"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CE1" w:rsidRDefault="008C2CE1" w:rsidP="007D75BE">
      <w:r>
        <w:separator/>
      </w:r>
    </w:p>
  </w:endnote>
  <w:endnote w:type="continuationSeparator" w:id="0">
    <w:p w:rsidR="008C2CE1" w:rsidRDefault="008C2CE1" w:rsidP="007D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timum">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F79" w:rsidRPr="00067F79" w:rsidRDefault="00067F79" w:rsidP="00067F79">
    <w:pPr>
      <w:tabs>
        <w:tab w:val="center" w:pos="4819"/>
        <w:tab w:val="right" w:pos="9638"/>
      </w:tabs>
      <w:jc w:val="center"/>
      <w:rPr>
        <w:rFonts w:ascii="Optimum" w:eastAsia="Times New Roman" w:hAnsi="Optimum"/>
        <w:color w:val="003366"/>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CE1" w:rsidRDefault="008C2CE1" w:rsidP="007D75BE">
      <w:r>
        <w:separator/>
      </w:r>
    </w:p>
  </w:footnote>
  <w:footnote w:type="continuationSeparator" w:id="0">
    <w:p w:rsidR="008C2CE1" w:rsidRDefault="008C2CE1" w:rsidP="007D7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F79" w:rsidRDefault="00F232E7">
    <w:pPr>
      <w:pStyle w:val="Intestazione"/>
    </w:pPr>
    <w:r w:rsidRPr="00F232E7">
      <w:rPr>
        <w:b/>
        <w:bCs/>
        <w:i/>
        <w:iCs/>
        <w:color w:val="1F497D"/>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7D75BE"/>
    <w:rsid w:val="000010A9"/>
    <w:rsid w:val="00013251"/>
    <w:rsid w:val="000232CB"/>
    <w:rsid w:val="00046E45"/>
    <w:rsid w:val="000605C9"/>
    <w:rsid w:val="00067F79"/>
    <w:rsid w:val="000743E2"/>
    <w:rsid w:val="00076DDE"/>
    <w:rsid w:val="000A6B20"/>
    <w:rsid w:val="000E7F8F"/>
    <w:rsid w:val="000F16BB"/>
    <w:rsid w:val="00112FD1"/>
    <w:rsid w:val="001649CA"/>
    <w:rsid w:val="001705A1"/>
    <w:rsid w:val="001709DE"/>
    <w:rsid w:val="00191BE1"/>
    <w:rsid w:val="001940DF"/>
    <w:rsid w:val="001B14F0"/>
    <w:rsid w:val="001B482F"/>
    <w:rsid w:val="00211C9F"/>
    <w:rsid w:val="0021368E"/>
    <w:rsid w:val="00216EA3"/>
    <w:rsid w:val="00224201"/>
    <w:rsid w:val="00253D13"/>
    <w:rsid w:val="00272202"/>
    <w:rsid w:val="002B3E9F"/>
    <w:rsid w:val="002D5FE7"/>
    <w:rsid w:val="002E5372"/>
    <w:rsid w:val="00306C8C"/>
    <w:rsid w:val="003148D1"/>
    <w:rsid w:val="00315BEA"/>
    <w:rsid w:val="00327DDD"/>
    <w:rsid w:val="00347B1C"/>
    <w:rsid w:val="00350487"/>
    <w:rsid w:val="003733BB"/>
    <w:rsid w:val="00375A46"/>
    <w:rsid w:val="003D744E"/>
    <w:rsid w:val="003F1991"/>
    <w:rsid w:val="003F26CF"/>
    <w:rsid w:val="00405868"/>
    <w:rsid w:val="00427A70"/>
    <w:rsid w:val="00441586"/>
    <w:rsid w:val="00452CDB"/>
    <w:rsid w:val="004708F0"/>
    <w:rsid w:val="004C1352"/>
    <w:rsid w:val="004C3731"/>
    <w:rsid w:val="004C427E"/>
    <w:rsid w:val="004F2E40"/>
    <w:rsid w:val="005077E7"/>
    <w:rsid w:val="005117E6"/>
    <w:rsid w:val="00522C06"/>
    <w:rsid w:val="00535D47"/>
    <w:rsid w:val="0057534E"/>
    <w:rsid w:val="005937CF"/>
    <w:rsid w:val="005A2CE7"/>
    <w:rsid w:val="005A443C"/>
    <w:rsid w:val="005A4457"/>
    <w:rsid w:val="005C03E5"/>
    <w:rsid w:val="005C7AD4"/>
    <w:rsid w:val="005D63CC"/>
    <w:rsid w:val="005E2D04"/>
    <w:rsid w:val="00602BE4"/>
    <w:rsid w:val="006247AF"/>
    <w:rsid w:val="00630102"/>
    <w:rsid w:val="006551A4"/>
    <w:rsid w:val="00656C44"/>
    <w:rsid w:val="0069680C"/>
    <w:rsid w:val="006A02C6"/>
    <w:rsid w:val="006C0174"/>
    <w:rsid w:val="006C060B"/>
    <w:rsid w:val="006C6AD0"/>
    <w:rsid w:val="006C7C71"/>
    <w:rsid w:val="006E08D5"/>
    <w:rsid w:val="006E4823"/>
    <w:rsid w:val="00721255"/>
    <w:rsid w:val="00731F94"/>
    <w:rsid w:val="00740B1D"/>
    <w:rsid w:val="00742A1D"/>
    <w:rsid w:val="0074372B"/>
    <w:rsid w:val="00747C87"/>
    <w:rsid w:val="0075479F"/>
    <w:rsid w:val="00774E2F"/>
    <w:rsid w:val="007957F5"/>
    <w:rsid w:val="007A0408"/>
    <w:rsid w:val="007A2808"/>
    <w:rsid w:val="007D75BE"/>
    <w:rsid w:val="007F420D"/>
    <w:rsid w:val="007F5F7A"/>
    <w:rsid w:val="008028BA"/>
    <w:rsid w:val="00806A24"/>
    <w:rsid w:val="008076B5"/>
    <w:rsid w:val="00807C9F"/>
    <w:rsid w:val="00823039"/>
    <w:rsid w:val="00832F03"/>
    <w:rsid w:val="00835FEF"/>
    <w:rsid w:val="00836D45"/>
    <w:rsid w:val="0084736E"/>
    <w:rsid w:val="00865750"/>
    <w:rsid w:val="008760FA"/>
    <w:rsid w:val="0089014E"/>
    <w:rsid w:val="008968D9"/>
    <w:rsid w:val="008A4ABA"/>
    <w:rsid w:val="008B06A3"/>
    <w:rsid w:val="008C1F18"/>
    <w:rsid w:val="008C2CE1"/>
    <w:rsid w:val="008E3D6B"/>
    <w:rsid w:val="00900BD6"/>
    <w:rsid w:val="00906686"/>
    <w:rsid w:val="00923DD3"/>
    <w:rsid w:val="00942B0B"/>
    <w:rsid w:val="009737D0"/>
    <w:rsid w:val="009925B8"/>
    <w:rsid w:val="009A35FE"/>
    <w:rsid w:val="009A665A"/>
    <w:rsid w:val="009C2D94"/>
    <w:rsid w:val="009F068C"/>
    <w:rsid w:val="00A1665B"/>
    <w:rsid w:val="00A2603C"/>
    <w:rsid w:val="00A53D88"/>
    <w:rsid w:val="00A606E6"/>
    <w:rsid w:val="00A65D25"/>
    <w:rsid w:val="00AD072E"/>
    <w:rsid w:val="00AF6D7E"/>
    <w:rsid w:val="00B11405"/>
    <w:rsid w:val="00B62FAA"/>
    <w:rsid w:val="00B747FB"/>
    <w:rsid w:val="00B97C84"/>
    <w:rsid w:val="00BF3246"/>
    <w:rsid w:val="00BF57E0"/>
    <w:rsid w:val="00C05D74"/>
    <w:rsid w:val="00C10325"/>
    <w:rsid w:val="00C24975"/>
    <w:rsid w:val="00C52113"/>
    <w:rsid w:val="00C55554"/>
    <w:rsid w:val="00C75803"/>
    <w:rsid w:val="00C76DCC"/>
    <w:rsid w:val="00CA3AE9"/>
    <w:rsid w:val="00CB1CE7"/>
    <w:rsid w:val="00CB6B9C"/>
    <w:rsid w:val="00CE51EF"/>
    <w:rsid w:val="00D023C2"/>
    <w:rsid w:val="00D148B3"/>
    <w:rsid w:val="00D23AD2"/>
    <w:rsid w:val="00D4324D"/>
    <w:rsid w:val="00D46D91"/>
    <w:rsid w:val="00D46E7A"/>
    <w:rsid w:val="00D473D7"/>
    <w:rsid w:val="00D554A3"/>
    <w:rsid w:val="00D72C44"/>
    <w:rsid w:val="00D73975"/>
    <w:rsid w:val="00D85CE4"/>
    <w:rsid w:val="00D8737B"/>
    <w:rsid w:val="00DA0463"/>
    <w:rsid w:val="00DA310B"/>
    <w:rsid w:val="00DB7B09"/>
    <w:rsid w:val="00DD651A"/>
    <w:rsid w:val="00DF0483"/>
    <w:rsid w:val="00DF4CE1"/>
    <w:rsid w:val="00DF648B"/>
    <w:rsid w:val="00E06D12"/>
    <w:rsid w:val="00E32FB5"/>
    <w:rsid w:val="00E62E94"/>
    <w:rsid w:val="00E81E40"/>
    <w:rsid w:val="00EC2845"/>
    <w:rsid w:val="00EC72EA"/>
    <w:rsid w:val="00ED1EA1"/>
    <w:rsid w:val="00EF5D1F"/>
    <w:rsid w:val="00F20571"/>
    <w:rsid w:val="00F21D82"/>
    <w:rsid w:val="00F21F1B"/>
    <w:rsid w:val="00F232E7"/>
    <w:rsid w:val="00F31F86"/>
    <w:rsid w:val="00F450EA"/>
    <w:rsid w:val="00F62FA8"/>
    <w:rsid w:val="00F82690"/>
    <w:rsid w:val="00F87847"/>
    <w:rsid w:val="00FA40C6"/>
    <w:rsid w:val="00FE5C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563FCB27-E7F6-4ACD-AA78-7B5F00534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D75BE"/>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unhideWhenUsed/>
    <w:rsid w:val="007D7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7D75BE"/>
    <w:rPr>
      <w:rFonts w:ascii="Courier New" w:hAnsi="Courier New" w:cs="Courier New"/>
      <w:sz w:val="20"/>
      <w:szCs w:val="20"/>
      <w:lang w:eastAsia="it-IT"/>
    </w:rPr>
  </w:style>
  <w:style w:type="paragraph" w:styleId="Intestazione">
    <w:name w:val="header"/>
    <w:basedOn w:val="Normale"/>
    <w:link w:val="IntestazioneCarattere"/>
    <w:uiPriority w:val="99"/>
    <w:unhideWhenUsed/>
    <w:rsid w:val="007D75BE"/>
    <w:pPr>
      <w:tabs>
        <w:tab w:val="center" w:pos="4819"/>
        <w:tab w:val="right" w:pos="9638"/>
      </w:tabs>
    </w:pPr>
  </w:style>
  <w:style w:type="character" w:customStyle="1" w:styleId="IntestazioneCarattere">
    <w:name w:val="Intestazione Carattere"/>
    <w:basedOn w:val="Carpredefinitoparagrafo"/>
    <w:link w:val="Intestazione"/>
    <w:uiPriority w:val="99"/>
    <w:rsid w:val="007D75BE"/>
    <w:rPr>
      <w:rFonts w:ascii="Times New Roman" w:hAnsi="Times New Roman" w:cs="Times New Roman"/>
      <w:sz w:val="24"/>
      <w:szCs w:val="24"/>
      <w:lang w:eastAsia="it-IT"/>
    </w:rPr>
  </w:style>
  <w:style w:type="paragraph" w:styleId="Pidipagina">
    <w:name w:val="footer"/>
    <w:basedOn w:val="Normale"/>
    <w:link w:val="PidipaginaCarattere"/>
    <w:uiPriority w:val="99"/>
    <w:unhideWhenUsed/>
    <w:rsid w:val="007D75BE"/>
    <w:pPr>
      <w:tabs>
        <w:tab w:val="center" w:pos="4819"/>
        <w:tab w:val="right" w:pos="9638"/>
      </w:tabs>
    </w:pPr>
  </w:style>
  <w:style w:type="character" w:customStyle="1" w:styleId="PidipaginaCarattere">
    <w:name w:val="Piè di pagina Carattere"/>
    <w:basedOn w:val="Carpredefinitoparagrafo"/>
    <w:link w:val="Pidipagina"/>
    <w:uiPriority w:val="99"/>
    <w:rsid w:val="007D75BE"/>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EF5D1F"/>
    <w:rPr>
      <w:color w:val="0563C1" w:themeColor="hyperlink"/>
      <w:u w:val="single"/>
    </w:rPr>
  </w:style>
  <w:style w:type="paragraph" w:customStyle="1" w:styleId="Default">
    <w:name w:val="Default"/>
    <w:basedOn w:val="Normale"/>
    <w:rsid w:val="00DD651A"/>
    <w:pPr>
      <w:autoSpaceDE w:val="0"/>
      <w:autoSpaceDN w:val="0"/>
    </w:pPr>
    <w:rPr>
      <w:rFonts w:ascii="Century Gothic" w:eastAsia="Calibri" w:hAnsi="Century Gothic"/>
      <w:color w:val="000000"/>
    </w:rPr>
  </w:style>
  <w:style w:type="paragraph" w:styleId="Testofumetto">
    <w:name w:val="Balloon Text"/>
    <w:basedOn w:val="Normale"/>
    <w:link w:val="TestofumettoCarattere"/>
    <w:uiPriority w:val="99"/>
    <w:semiHidden/>
    <w:unhideWhenUsed/>
    <w:rsid w:val="006C7C7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C7C71"/>
    <w:rPr>
      <w:rFonts w:ascii="Tahom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28697">
      <w:bodyDiv w:val="1"/>
      <w:marLeft w:val="0"/>
      <w:marRight w:val="0"/>
      <w:marTop w:val="0"/>
      <w:marBottom w:val="0"/>
      <w:divBdr>
        <w:top w:val="none" w:sz="0" w:space="0" w:color="auto"/>
        <w:left w:val="none" w:sz="0" w:space="0" w:color="auto"/>
        <w:bottom w:val="none" w:sz="0" w:space="0" w:color="auto"/>
        <w:right w:val="none" w:sz="0" w:space="0" w:color="auto"/>
      </w:divBdr>
    </w:div>
    <w:div w:id="230387117">
      <w:bodyDiv w:val="1"/>
      <w:marLeft w:val="0"/>
      <w:marRight w:val="0"/>
      <w:marTop w:val="0"/>
      <w:marBottom w:val="0"/>
      <w:divBdr>
        <w:top w:val="none" w:sz="0" w:space="0" w:color="auto"/>
        <w:left w:val="none" w:sz="0" w:space="0" w:color="auto"/>
        <w:bottom w:val="none" w:sz="0" w:space="0" w:color="auto"/>
        <w:right w:val="none" w:sz="0" w:space="0" w:color="auto"/>
      </w:divBdr>
    </w:div>
    <w:div w:id="237986076">
      <w:bodyDiv w:val="1"/>
      <w:marLeft w:val="0"/>
      <w:marRight w:val="0"/>
      <w:marTop w:val="0"/>
      <w:marBottom w:val="0"/>
      <w:divBdr>
        <w:top w:val="none" w:sz="0" w:space="0" w:color="auto"/>
        <w:left w:val="none" w:sz="0" w:space="0" w:color="auto"/>
        <w:bottom w:val="none" w:sz="0" w:space="0" w:color="auto"/>
        <w:right w:val="none" w:sz="0" w:space="0" w:color="auto"/>
      </w:divBdr>
    </w:div>
    <w:div w:id="341125232">
      <w:bodyDiv w:val="1"/>
      <w:marLeft w:val="0"/>
      <w:marRight w:val="0"/>
      <w:marTop w:val="0"/>
      <w:marBottom w:val="0"/>
      <w:divBdr>
        <w:top w:val="none" w:sz="0" w:space="0" w:color="auto"/>
        <w:left w:val="none" w:sz="0" w:space="0" w:color="auto"/>
        <w:bottom w:val="none" w:sz="0" w:space="0" w:color="auto"/>
        <w:right w:val="none" w:sz="0" w:space="0" w:color="auto"/>
      </w:divBdr>
    </w:div>
    <w:div w:id="453409336">
      <w:bodyDiv w:val="1"/>
      <w:marLeft w:val="0"/>
      <w:marRight w:val="0"/>
      <w:marTop w:val="0"/>
      <w:marBottom w:val="0"/>
      <w:divBdr>
        <w:top w:val="none" w:sz="0" w:space="0" w:color="auto"/>
        <w:left w:val="none" w:sz="0" w:space="0" w:color="auto"/>
        <w:bottom w:val="none" w:sz="0" w:space="0" w:color="auto"/>
        <w:right w:val="none" w:sz="0" w:space="0" w:color="auto"/>
      </w:divBdr>
    </w:div>
    <w:div w:id="506602011">
      <w:bodyDiv w:val="1"/>
      <w:marLeft w:val="0"/>
      <w:marRight w:val="0"/>
      <w:marTop w:val="0"/>
      <w:marBottom w:val="0"/>
      <w:divBdr>
        <w:top w:val="none" w:sz="0" w:space="0" w:color="auto"/>
        <w:left w:val="none" w:sz="0" w:space="0" w:color="auto"/>
        <w:bottom w:val="none" w:sz="0" w:space="0" w:color="auto"/>
        <w:right w:val="none" w:sz="0" w:space="0" w:color="auto"/>
      </w:divBdr>
    </w:div>
    <w:div w:id="683434393">
      <w:bodyDiv w:val="1"/>
      <w:marLeft w:val="0"/>
      <w:marRight w:val="0"/>
      <w:marTop w:val="0"/>
      <w:marBottom w:val="0"/>
      <w:divBdr>
        <w:top w:val="none" w:sz="0" w:space="0" w:color="auto"/>
        <w:left w:val="none" w:sz="0" w:space="0" w:color="auto"/>
        <w:bottom w:val="none" w:sz="0" w:space="0" w:color="auto"/>
        <w:right w:val="none" w:sz="0" w:space="0" w:color="auto"/>
      </w:divBdr>
    </w:div>
    <w:div w:id="748692955">
      <w:bodyDiv w:val="1"/>
      <w:marLeft w:val="0"/>
      <w:marRight w:val="0"/>
      <w:marTop w:val="0"/>
      <w:marBottom w:val="0"/>
      <w:divBdr>
        <w:top w:val="none" w:sz="0" w:space="0" w:color="auto"/>
        <w:left w:val="none" w:sz="0" w:space="0" w:color="auto"/>
        <w:bottom w:val="none" w:sz="0" w:space="0" w:color="auto"/>
        <w:right w:val="none" w:sz="0" w:space="0" w:color="auto"/>
      </w:divBdr>
    </w:div>
    <w:div w:id="1116018571">
      <w:bodyDiv w:val="1"/>
      <w:marLeft w:val="0"/>
      <w:marRight w:val="0"/>
      <w:marTop w:val="0"/>
      <w:marBottom w:val="0"/>
      <w:divBdr>
        <w:top w:val="none" w:sz="0" w:space="0" w:color="auto"/>
        <w:left w:val="none" w:sz="0" w:space="0" w:color="auto"/>
        <w:bottom w:val="none" w:sz="0" w:space="0" w:color="auto"/>
        <w:right w:val="none" w:sz="0" w:space="0" w:color="auto"/>
      </w:divBdr>
    </w:div>
    <w:div w:id="1145857492">
      <w:bodyDiv w:val="1"/>
      <w:marLeft w:val="0"/>
      <w:marRight w:val="0"/>
      <w:marTop w:val="0"/>
      <w:marBottom w:val="0"/>
      <w:divBdr>
        <w:top w:val="none" w:sz="0" w:space="0" w:color="auto"/>
        <w:left w:val="none" w:sz="0" w:space="0" w:color="auto"/>
        <w:bottom w:val="none" w:sz="0" w:space="0" w:color="auto"/>
        <w:right w:val="none" w:sz="0" w:space="0" w:color="auto"/>
      </w:divBdr>
    </w:div>
    <w:div w:id="1161317125">
      <w:bodyDiv w:val="1"/>
      <w:marLeft w:val="0"/>
      <w:marRight w:val="0"/>
      <w:marTop w:val="0"/>
      <w:marBottom w:val="0"/>
      <w:divBdr>
        <w:top w:val="none" w:sz="0" w:space="0" w:color="auto"/>
        <w:left w:val="none" w:sz="0" w:space="0" w:color="auto"/>
        <w:bottom w:val="none" w:sz="0" w:space="0" w:color="auto"/>
        <w:right w:val="none" w:sz="0" w:space="0" w:color="auto"/>
      </w:divBdr>
    </w:div>
    <w:div w:id="1383869440">
      <w:bodyDiv w:val="1"/>
      <w:marLeft w:val="0"/>
      <w:marRight w:val="0"/>
      <w:marTop w:val="0"/>
      <w:marBottom w:val="0"/>
      <w:divBdr>
        <w:top w:val="none" w:sz="0" w:space="0" w:color="auto"/>
        <w:left w:val="none" w:sz="0" w:space="0" w:color="auto"/>
        <w:bottom w:val="none" w:sz="0" w:space="0" w:color="auto"/>
        <w:right w:val="none" w:sz="0" w:space="0" w:color="auto"/>
      </w:divBdr>
    </w:div>
    <w:div w:id="1665278477">
      <w:bodyDiv w:val="1"/>
      <w:marLeft w:val="0"/>
      <w:marRight w:val="0"/>
      <w:marTop w:val="0"/>
      <w:marBottom w:val="0"/>
      <w:divBdr>
        <w:top w:val="none" w:sz="0" w:space="0" w:color="auto"/>
        <w:left w:val="none" w:sz="0" w:space="0" w:color="auto"/>
        <w:bottom w:val="none" w:sz="0" w:space="0" w:color="auto"/>
        <w:right w:val="none" w:sz="0" w:space="0" w:color="auto"/>
      </w:divBdr>
    </w:div>
    <w:div w:id="1731616345">
      <w:bodyDiv w:val="1"/>
      <w:marLeft w:val="0"/>
      <w:marRight w:val="0"/>
      <w:marTop w:val="0"/>
      <w:marBottom w:val="0"/>
      <w:divBdr>
        <w:top w:val="none" w:sz="0" w:space="0" w:color="auto"/>
        <w:left w:val="none" w:sz="0" w:space="0" w:color="auto"/>
        <w:bottom w:val="none" w:sz="0" w:space="0" w:color="auto"/>
        <w:right w:val="none" w:sz="0" w:space="0" w:color="auto"/>
      </w:divBdr>
    </w:div>
    <w:div w:id="2001150778">
      <w:bodyDiv w:val="1"/>
      <w:marLeft w:val="0"/>
      <w:marRight w:val="0"/>
      <w:marTop w:val="0"/>
      <w:marBottom w:val="0"/>
      <w:divBdr>
        <w:top w:val="none" w:sz="0" w:space="0" w:color="auto"/>
        <w:left w:val="none" w:sz="0" w:space="0" w:color="auto"/>
        <w:bottom w:val="none" w:sz="0" w:space="0" w:color="auto"/>
        <w:right w:val="none" w:sz="0" w:space="0" w:color="auto"/>
      </w:divBdr>
    </w:div>
    <w:div w:id="209578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cherubini@vrelation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152E6-C5A0-4A79-AC99-392B74F77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356</Words>
  <Characters>2031</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Longhi</dc:creator>
  <cp:lastModifiedBy>Chiara Longhi</cp:lastModifiedBy>
  <cp:revision>158</cp:revision>
  <dcterms:created xsi:type="dcterms:W3CDTF">2016-02-24T15:16:00Z</dcterms:created>
  <dcterms:modified xsi:type="dcterms:W3CDTF">2016-07-11T12:58:00Z</dcterms:modified>
</cp:coreProperties>
</file>