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57C" w:rsidRPr="00D87D47" w:rsidRDefault="00D87D47" w:rsidP="00D87D47">
      <w:pPr>
        <w:pStyle w:val="PreformattatoHTML"/>
        <w:jc w:val="center"/>
        <w:rPr>
          <w:rFonts w:ascii="Arial" w:hAnsi="Arial" w:cs="Arial"/>
          <w:b/>
          <w:bCs/>
          <w:sz w:val="36"/>
          <w:szCs w:val="36"/>
        </w:rPr>
      </w:pPr>
      <w:r w:rsidRPr="00D87D47">
        <w:rPr>
          <w:rFonts w:ascii="Arial" w:hAnsi="Arial" w:cs="Arial"/>
          <w:b/>
          <w:bCs/>
          <w:sz w:val="36"/>
          <w:szCs w:val="36"/>
        </w:rPr>
        <w:t>Dall’alleanza tra clinica e società</w:t>
      </w:r>
      <w:r>
        <w:rPr>
          <w:rFonts w:ascii="Arial" w:hAnsi="Arial" w:cs="Arial"/>
          <w:b/>
          <w:bCs/>
          <w:sz w:val="36"/>
          <w:szCs w:val="36"/>
        </w:rPr>
        <w:br/>
      </w:r>
      <w:r w:rsidRPr="00D87D47">
        <w:rPr>
          <w:rFonts w:ascii="Arial" w:hAnsi="Arial" w:cs="Arial"/>
          <w:b/>
          <w:bCs/>
          <w:sz w:val="36"/>
          <w:szCs w:val="36"/>
        </w:rPr>
        <w:t xml:space="preserve"> parte lo sviluppo del ruolo del biosimilare</w:t>
      </w:r>
    </w:p>
    <w:p w:rsidR="001B557C" w:rsidRDefault="001B557C" w:rsidP="001B557C">
      <w:pPr>
        <w:tabs>
          <w:tab w:val="left" w:pos="2790"/>
        </w:tabs>
      </w:pPr>
    </w:p>
    <w:p w:rsidR="001947B8" w:rsidRDefault="001B557C" w:rsidP="001B557C">
      <w:pPr>
        <w:tabs>
          <w:tab w:val="left" w:pos="2790"/>
        </w:tabs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B557C">
        <w:rPr>
          <w:rFonts w:ascii="Arial" w:eastAsia="Calibri" w:hAnsi="Arial" w:cs="Arial"/>
          <w:b/>
          <w:sz w:val="22"/>
          <w:szCs w:val="22"/>
          <w:lang w:eastAsia="en-US"/>
        </w:rPr>
        <w:t>Roma, 15 luglio 2016</w:t>
      </w:r>
      <w:r w:rsidR="003C5FD9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3C5FD9">
        <w:rPr>
          <w:rFonts w:ascii="Arial" w:eastAsia="Calibri" w:hAnsi="Arial" w:cs="Arial"/>
          <w:sz w:val="22"/>
          <w:szCs w:val="22"/>
          <w:lang w:eastAsia="en-US"/>
        </w:rPr>
        <w:t>-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B557C">
        <w:rPr>
          <w:rFonts w:ascii="Arial" w:eastAsia="Calibri" w:hAnsi="Arial" w:cs="Arial"/>
          <w:sz w:val="22"/>
          <w:szCs w:val="22"/>
          <w:lang w:eastAsia="en-US"/>
        </w:rPr>
        <w:t>È stato presentato oggi a Roma, alla Biblioteca del Senato, il Consensus Paper “</w:t>
      </w:r>
      <w:r w:rsidRPr="00B42C6F">
        <w:rPr>
          <w:rFonts w:ascii="Arial" w:eastAsia="Calibri" w:hAnsi="Arial" w:cs="Arial"/>
          <w:i/>
          <w:sz w:val="22"/>
          <w:szCs w:val="22"/>
          <w:lang w:eastAsia="en-US"/>
        </w:rPr>
        <w:t>Biosimilari, per una nuova alleanza tra clinica e società. Efficacia, sicurezza e corretta informazione</w:t>
      </w:r>
      <w:r w:rsidRPr="001B557C">
        <w:rPr>
          <w:rFonts w:ascii="Arial" w:eastAsia="Calibri" w:hAnsi="Arial" w:cs="Arial"/>
          <w:sz w:val="22"/>
          <w:szCs w:val="22"/>
          <w:lang w:eastAsia="en-US"/>
        </w:rPr>
        <w:t>”. Il documento, la cui realizzazione è stata promossa dall’Italian Biosimilars Group, è il frutto di una metodologia di lavoro innovativa per il panor</w:t>
      </w:r>
      <w:r w:rsidR="00753D96">
        <w:rPr>
          <w:rFonts w:ascii="Arial" w:eastAsia="Calibri" w:hAnsi="Arial" w:cs="Arial"/>
          <w:sz w:val="22"/>
          <w:szCs w:val="22"/>
          <w:lang w:eastAsia="en-US"/>
        </w:rPr>
        <w:t>ama italiano, che nello scorso a</w:t>
      </w:r>
      <w:r w:rsidRPr="001B557C">
        <w:rPr>
          <w:rFonts w:ascii="Arial" w:eastAsia="Calibri" w:hAnsi="Arial" w:cs="Arial"/>
          <w:sz w:val="22"/>
          <w:szCs w:val="22"/>
          <w:lang w:eastAsia="en-US"/>
        </w:rPr>
        <w:t xml:space="preserve">prile ha riunito </w:t>
      </w:r>
      <w:r w:rsidR="002F2F35">
        <w:rPr>
          <w:rFonts w:ascii="Arial" w:eastAsia="Calibri" w:hAnsi="Arial" w:cs="Arial"/>
          <w:sz w:val="22"/>
          <w:szCs w:val="22"/>
          <w:lang w:eastAsia="en-US"/>
        </w:rPr>
        <w:t xml:space="preserve">a confronto, </w:t>
      </w:r>
      <w:r w:rsidRPr="001B557C">
        <w:rPr>
          <w:rFonts w:ascii="Arial" w:eastAsia="Calibri" w:hAnsi="Arial" w:cs="Arial"/>
          <w:sz w:val="22"/>
          <w:szCs w:val="22"/>
          <w:lang w:eastAsia="en-US"/>
        </w:rPr>
        <w:t>su quattro tavoli tematic</w:t>
      </w:r>
      <w:r>
        <w:rPr>
          <w:rFonts w:ascii="Arial" w:eastAsia="Calibri" w:hAnsi="Arial" w:cs="Arial"/>
          <w:sz w:val="22"/>
          <w:szCs w:val="22"/>
          <w:lang w:eastAsia="en-US"/>
        </w:rPr>
        <w:t>i</w:t>
      </w:r>
      <w:r w:rsidR="002F2F35">
        <w:rPr>
          <w:rFonts w:ascii="Arial" w:eastAsia="Calibri" w:hAnsi="Arial" w:cs="Arial"/>
          <w:sz w:val="22"/>
          <w:szCs w:val="22"/>
          <w:lang w:eastAsia="en-US"/>
        </w:rPr>
        <w:t>,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35 esperti in rappresentanza </w:t>
      </w:r>
      <w:r w:rsidRPr="001B557C">
        <w:rPr>
          <w:rFonts w:ascii="Arial" w:eastAsia="Calibri" w:hAnsi="Arial" w:cs="Arial"/>
          <w:sz w:val="22"/>
          <w:szCs w:val="22"/>
          <w:lang w:eastAsia="en-US"/>
        </w:rPr>
        <w:t xml:space="preserve">di tutti gli attori interessati: clinici </w:t>
      </w:r>
      <w:r w:rsidR="00A86F5E" w:rsidRPr="001B557C">
        <w:rPr>
          <w:rFonts w:ascii="Arial" w:eastAsia="Calibri" w:hAnsi="Arial" w:cs="Arial"/>
          <w:sz w:val="22"/>
          <w:szCs w:val="22"/>
          <w:lang w:eastAsia="en-US"/>
        </w:rPr>
        <w:t>e pazienti</w:t>
      </w:r>
      <w:r w:rsidRPr="001B557C">
        <w:rPr>
          <w:rFonts w:ascii="Arial" w:eastAsia="Calibri" w:hAnsi="Arial" w:cs="Arial"/>
          <w:sz w:val="22"/>
          <w:szCs w:val="22"/>
          <w:lang w:eastAsia="en-US"/>
        </w:rPr>
        <w:t>, farmacologi e farmacisti, farmacoeconomisti ed esponenti delle istituzioni.</w:t>
      </w:r>
    </w:p>
    <w:p w:rsidR="001B557C" w:rsidRPr="001B557C" w:rsidRDefault="001B557C" w:rsidP="001B557C">
      <w:pPr>
        <w:tabs>
          <w:tab w:val="left" w:pos="2790"/>
        </w:tabs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B557C">
        <w:rPr>
          <w:rFonts w:ascii="Arial" w:eastAsia="Calibri" w:hAnsi="Arial" w:cs="Arial"/>
          <w:sz w:val="22"/>
          <w:szCs w:val="22"/>
          <w:lang w:eastAsia="en-US"/>
        </w:rPr>
        <w:t>“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La sicurezza ed efficacia </w:t>
      </w:r>
      <w:r w:rsidR="00A86F5E">
        <w:rPr>
          <w:rFonts w:ascii="Arial" w:eastAsia="Calibri" w:hAnsi="Arial" w:cs="Arial"/>
          <w:sz w:val="22"/>
          <w:szCs w:val="22"/>
          <w:lang w:eastAsia="en-US"/>
        </w:rPr>
        <w:t>dei farmaci</w:t>
      </w:r>
      <w:r w:rsidRPr="001B557C">
        <w:rPr>
          <w:rFonts w:ascii="Arial" w:eastAsia="Calibri" w:hAnsi="Arial" w:cs="Arial"/>
          <w:sz w:val="22"/>
          <w:szCs w:val="22"/>
          <w:lang w:eastAsia="en-US"/>
        </w:rPr>
        <w:t xml:space="preserve"> biosimilari è dimostrata sia dagli studi clinici </w:t>
      </w:r>
      <w:r w:rsidR="00A86F5E" w:rsidRPr="001B557C">
        <w:rPr>
          <w:rFonts w:ascii="Arial" w:eastAsia="Calibri" w:hAnsi="Arial" w:cs="Arial"/>
          <w:sz w:val="22"/>
          <w:szCs w:val="22"/>
          <w:lang w:eastAsia="en-US"/>
        </w:rPr>
        <w:t>registrativi che</w:t>
      </w:r>
      <w:r w:rsidRPr="001B557C">
        <w:rPr>
          <w:rFonts w:ascii="Arial" w:eastAsia="Calibri" w:hAnsi="Arial" w:cs="Arial"/>
          <w:sz w:val="22"/>
          <w:szCs w:val="22"/>
          <w:lang w:eastAsia="en-US"/>
        </w:rPr>
        <w:t xml:space="preserve"> dalla pratica clinica quotidiana, eppure ancora si riscontra una certa diffidenza nel loro utilizzo” dice il </w:t>
      </w:r>
      <w:r w:rsidR="002F2F35">
        <w:rPr>
          <w:rFonts w:ascii="Arial" w:eastAsia="Calibri" w:hAnsi="Arial" w:cs="Arial"/>
          <w:b/>
          <w:sz w:val="22"/>
          <w:szCs w:val="22"/>
          <w:lang w:eastAsia="en-US"/>
        </w:rPr>
        <w:t xml:space="preserve">coordinatore dell’IBG, </w:t>
      </w:r>
      <w:r w:rsidRPr="005221BB">
        <w:rPr>
          <w:rFonts w:ascii="Arial" w:eastAsia="Calibri" w:hAnsi="Arial" w:cs="Arial"/>
          <w:b/>
          <w:sz w:val="22"/>
          <w:szCs w:val="22"/>
          <w:lang w:eastAsia="en-US"/>
        </w:rPr>
        <w:t>Manlio Florenzano</w:t>
      </w:r>
      <w:r w:rsidRPr="001B557C">
        <w:rPr>
          <w:rFonts w:ascii="Arial" w:eastAsia="Calibri" w:hAnsi="Arial" w:cs="Arial"/>
          <w:sz w:val="22"/>
          <w:szCs w:val="22"/>
          <w:lang w:eastAsia="en-US"/>
        </w:rPr>
        <w:t>. “L’elemento cardine, a nostro avviso, resta la carenza di informazione sugli aspetti farmacologici e regolatori e la scarsa condiv</w:t>
      </w:r>
      <w:r w:rsidR="00C438C4">
        <w:rPr>
          <w:rFonts w:ascii="Arial" w:eastAsia="Calibri" w:hAnsi="Arial" w:cs="Arial"/>
          <w:sz w:val="22"/>
          <w:szCs w:val="22"/>
          <w:lang w:eastAsia="en-US"/>
        </w:rPr>
        <w:t>isione delle diverse esperienze di</w:t>
      </w:r>
      <w:r w:rsidRPr="001B557C">
        <w:rPr>
          <w:rFonts w:ascii="Arial" w:eastAsia="Calibri" w:hAnsi="Arial" w:cs="Arial"/>
          <w:sz w:val="22"/>
          <w:szCs w:val="22"/>
          <w:lang w:eastAsia="en-US"/>
        </w:rPr>
        <w:t xml:space="preserve"> pratica </w:t>
      </w:r>
      <w:r w:rsidR="002F2F35">
        <w:rPr>
          <w:rFonts w:ascii="Arial" w:eastAsia="Calibri" w:hAnsi="Arial" w:cs="Arial"/>
          <w:sz w:val="22"/>
          <w:szCs w:val="22"/>
          <w:lang w:eastAsia="en-US"/>
        </w:rPr>
        <w:t xml:space="preserve">clinica </w:t>
      </w:r>
      <w:r w:rsidRPr="001B557C">
        <w:rPr>
          <w:rFonts w:ascii="Arial" w:eastAsia="Calibri" w:hAnsi="Arial" w:cs="Arial"/>
          <w:sz w:val="22"/>
          <w:szCs w:val="22"/>
          <w:lang w:eastAsia="en-US"/>
        </w:rPr>
        <w:t>quotidiana, la così detta “real world evidence”. Riteniamo non sia sufficientemente valorizzata neppure l’effettiva portata dei vantaggi legati all’utilizzo dei biosimilari e non ci r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iferiamo meramente ai risparmi </w:t>
      </w:r>
      <w:r w:rsidRPr="001B557C">
        <w:rPr>
          <w:rFonts w:ascii="Arial" w:eastAsia="Calibri" w:hAnsi="Arial" w:cs="Arial"/>
          <w:sz w:val="22"/>
          <w:szCs w:val="22"/>
          <w:lang w:eastAsia="en-US"/>
        </w:rPr>
        <w:t xml:space="preserve">sul piano economico sanitario, ma all’allargamento significativo dell’accesso alle migliori cure oggi disponibili”. </w:t>
      </w:r>
    </w:p>
    <w:p w:rsidR="001B557C" w:rsidRPr="001B557C" w:rsidRDefault="001B557C" w:rsidP="001B557C">
      <w:pPr>
        <w:tabs>
          <w:tab w:val="left" w:pos="2790"/>
        </w:tabs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B557C">
        <w:rPr>
          <w:rFonts w:ascii="Arial" w:eastAsia="Calibri" w:hAnsi="Arial" w:cs="Arial"/>
          <w:sz w:val="22"/>
          <w:szCs w:val="22"/>
          <w:lang w:eastAsia="en-US"/>
        </w:rPr>
        <w:t>Di qui la scelta di mettere a fuoco, nel confronto tra i diversi stakeholders, aspetti cruciali ben definiti che hanno fatto emergere punti di condivisione importanti: gli elementi di riferimento utili al clinico per operare in regime di appropriatezza terapeutica garantendo la miglior cura e la sicurezza del paziente; le modalità di coinvolgimento del pazien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te nelle scelte terapeutiche e </w:t>
      </w:r>
      <w:r w:rsidRPr="001B557C">
        <w:rPr>
          <w:rFonts w:ascii="Arial" w:eastAsia="Calibri" w:hAnsi="Arial" w:cs="Arial"/>
          <w:sz w:val="22"/>
          <w:szCs w:val="22"/>
          <w:lang w:eastAsia="en-US"/>
        </w:rPr>
        <w:t xml:space="preserve">il ruolo degli enti regolatori nello sgomberare definitivamente il campo dai pregiudizi. </w:t>
      </w:r>
    </w:p>
    <w:p w:rsidR="001B557C" w:rsidRPr="001B557C" w:rsidRDefault="001B557C" w:rsidP="001B557C">
      <w:pPr>
        <w:tabs>
          <w:tab w:val="left" w:pos="2790"/>
        </w:tabs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B557C">
        <w:rPr>
          <w:rFonts w:ascii="Arial" w:eastAsia="Calibri" w:hAnsi="Arial" w:cs="Arial"/>
          <w:sz w:val="22"/>
          <w:szCs w:val="22"/>
          <w:lang w:eastAsia="en-US"/>
        </w:rPr>
        <w:t xml:space="preserve">“Sono convinto che il Consensus Paper costituisca un risultato importante sul piano scientifico e la premessa per uno scambio proficuo, libero e aperto tra tutti i protagonisti del processo di cura e della tutela della salute” riassume il </w:t>
      </w:r>
      <w:r w:rsidRPr="005221BB">
        <w:rPr>
          <w:rFonts w:ascii="Arial" w:eastAsia="Calibri" w:hAnsi="Arial" w:cs="Arial"/>
          <w:b/>
          <w:sz w:val="22"/>
          <w:szCs w:val="22"/>
          <w:lang w:eastAsia="en-US"/>
        </w:rPr>
        <w:t xml:space="preserve">professor Massimo Morosetti, </w:t>
      </w:r>
      <w:r w:rsidR="00EC6455" w:rsidRPr="00EC6455">
        <w:rPr>
          <w:rFonts w:ascii="Arial" w:eastAsia="Calibri" w:hAnsi="Arial" w:cs="Arial"/>
          <w:b/>
          <w:sz w:val="22"/>
          <w:szCs w:val="22"/>
          <w:lang w:eastAsia="en-US"/>
        </w:rPr>
        <w:t>Direttore Unità</w:t>
      </w:r>
      <w:r w:rsidR="00607518">
        <w:rPr>
          <w:rFonts w:ascii="Arial" w:eastAsia="Calibri" w:hAnsi="Arial" w:cs="Arial"/>
          <w:b/>
          <w:sz w:val="22"/>
          <w:szCs w:val="22"/>
          <w:lang w:eastAsia="en-US"/>
        </w:rPr>
        <w:t xml:space="preserve"> operativa Nefrologia e Dialisi</w:t>
      </w:r>
      <w:r w:rsidR="00EC6455" w:rsidRPr="00EC6455">
        <w:rPr>
          <w:rFonts w:ascii="Arial" w:eastAsia="Calibri" w:hAnsi="Arial" w:cs="Arial"/>
          <w:b/>
          <w:sz w:val="22"/>
          <w:szCs w:val="22"/>
          <w:lang w:eastAsia="en-US"/>
        </w:rPr>
        <w:t xml:space="preserve"> Presidio Ospedaliero Giovan Battista Grassi</w:t>
      </w:r>
      <w:r w:rsidRPr="005221BB">
        <w:rPr>
          <w:rFonts w:ascii="Arial" w:eastAsia="Calibri" w:hAnsi="Arial" w:cs="Arial"/>
          <w:b/>
          <w:sz w:val="22"/>
          <w:szCs w:val="22"/>
          <w:lang w:eastAsia="en-US"/>
        </w:rPr>
        <w:t>.</w:t>
      </w:r>
      <w:r w:rsidRPr="001B557C">
        <w:rPr>
          <w:rFonts w:ascii="Arial" w:eastAsia="Calibri" w:hAnsi="Arial" w:cs="Arial"/>
          <w:sz w:val="22"/>
          <w:szCs w:val="22"/>
          <w:lang w:eastAsia="en-US"/>
        </w:rPr>
        <w:t xml:space="preserve"> “E proprio grazie a questo confronto sono stati fatti significativi passi avanti, per esempio, sul tema dello switch dal farmaco di riferimento al biosimilare. Infatti, la valutazione delle esperienze conferma che, in particolare per i biosimilari in uso da più tempo, vi sono dati sufficienti per affermare che lo switch, ovviamente sotto il controllo diretto del medico, non genererebbe criticità, e che rappresenta invece una procedura sicura ed efficace, documentata in maniera solida da studi ed esperienze cliniche internazionali e nazionali”.</w:t>
      </w:r>
    </w:p>
    <w:p w:rsidR="001B557C" w:rsidRPr="001B557C" w:rsidRDefault="001B557C" w:rsidP="001B557C">
      <w:pPr>
        <w:tabs>
          <w:tab w:val="left" w:pos="2790"/>
        </w:tabs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B557C">
        <w:rPr>
          <w:rFonts w:ascii="Arial" w:eastAsia="Calibri" w:hAnsi="Arial" w:cs="Arial"/>
          <w:sz w:val="22"/>
          <w:szCs w:val="22"/>
          <w:lang w:eastAsia="en-US"/>
        </w:rPr>
        <w:t>All’evento ha voluto essere presente il presidente dell’AIFA, il professor Mario Melazzini: “Una presenza significativa” conclude Manlio Florenzano “sicuramente di buon auspicio per la nascita di quel rapporto continuativo tra clinici, pazienti, industria e AIFA che è stato indicato come fondamentale per raggiungere l’obiettivo più importante: offrire le migliori cure possibili al maggior numero di cittadini, salvaguardando la stabilità del Ssn”.</w:t>
      </w:r>
    </w:p>
    <w:p w:rsidR="00751D8A" w:rsidRDefault="00751D8A" w:rsidP="00751D8A">
      <w:pPr>
        <w:spacing w:line="276" w:lineRule="auto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:rsidR="00751D8A" w:rsidRPr="00751D8A" w:rsidRDefault="00751D8A" w:rsidP="00751D8A">
      <w:pPr>
        <w:spacing w:line="276" w:lineRule="auto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bookmarkStart w:id="0" w:name="_GoBack"/>
      <w:bookmarkEnd w:id="0"/>
      <w:r w:rsidRPr="00751D8A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Per ulteriori informazioni:</w:t>
      </w:r>
    </w:p>
    <w:p w:rsidR="0095769E" w:rsidRDefault="00751D8A" w:rsidP="00751D8A">
      <w:pPr>
        <w:rPr>
          <w:rFonts w:ascii="Arial" w:eastAsia="Calibri" w:hAnsi="Arial" w:cs="Arial"/>
          <w:sz w:val="22"/>
          <w:szCs w:val="22"/>
        </w:rPr>
      </w:pPr>
      <w:r w:rsidRPr="00751D8A">
        <w:rPr>
          <w:rFonts w:eastAsiaTheme="minorHAnsi"/>
          <w:noProof/>
        </w:rPr>
        <w:drawing>
          <wp:inline distT="0" distB="0" distL="0" distR="0">
            <wp:extent cx="1581150" cy="180975"/>
            <wp:effectExtent l="0" t="0" r="0" b="9525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1D8A">
        <w:rPr>
          <w:rFonts w:ascii="Arial" w:eastAsia="Calibri" w:hAnsi="Arial" w:cs="Arial"/>
          <w:sz w:val="22"/>
          <w:szCs w:val="22"/>
        </w:rPr>
        <w:br/>
        <w:t xml:space="preserve">Ufficio Stampa </w:t>
      </w:r>
      <w:r w:rsidR="0095769E">
        <w:rPr>
          <w:rFonts w:ascii="Arial" w:eastAsia="Calibri" w:hAnsi="Arial" w:cs="Arial"/>
          <w:sz w:val="22"/>
          <w:szCs w:val="22"/>
        </w:rPr>
        <w:t>IBG</w:t>
      </w:r>
    </w:p>
    <w:p w:rsidR="00751D8A" w:rsidRPr="00751D8A" w:rsidRDefault="00751D8A" w:rsidP="00751D8A">
      <w:pPr>
        <w:rPr>
          <w:rFonts w:ascii="Arial" w:eastAsia="Calibri" w:hAnsi="Arial" w:cs="Arial"/>
          <w:sz w:val="22"/>
          <w:szCs w:val="22"/>
        </w:rPr>
      </w:pPr>
      <w:r w:rsidRPr="00751D8A">
        <w:rPr>
          <w:rFonts w:ascii="Arial" w:eastAsia="Calibri" w:hAnsi="Arial" w:cs="Arial"/>
          <w:sz w:val="22"/>
          <w:szCs w:val="22"/>
        </w:rPr>
        <w:t>tel. 02/2042491</w:t>
      </w:r>
    </w:p>
    <w:p w:rsidR="00727706" w:rsidRPr="001B557C" w:rsidRDefault="00751D8A" w:rsidP="005B52D4">
      <w:pPr>
        <w:rPr>
          <w:rFonts w:ascii="Arial" w:eastAsia="Calibri" w:hAnsi="Arial" w:cs="Arial"/>
          <w:sz w:val="22"/>
          <w:szCs w:val="22"/>
          <w:lang w:eastAsia="en-US"/>
        </w:rPr>
      </w:pPr>
      <w:r w:rsidRPr="00751D8A">
        <w:rPr>
          <w:rFonts w:ascii="Arial" w:eastAsia="Calibri" w:hAnsi="Arial" w:cs="Arial"/>
          <w:sz w:val="22"/>
          <w:szCs w:val="22"/>
        </w:rPr>
        <w:t>Massimo Cherubini - cellulare 335/8231700</w:t>
      </w:r>
      <w:r w:rsidRPr="00751D8A">
        <w:rPr>
          <w:rFonts w:ascii="Arial" w:eastAsia="Calibri" w:hAnsi="Arial" w:cs="Arial"/>
          <w:sz w:val="22"/>
          <w:szCs w:val="22"/>
        </w:rPr>
        <w:br/>
        <w:t xml:space="preserve">e-mail: </w:t>
      </w:r>
      <w:hyperlink r:id="rId8" w:history="1">
        <w:r w:rsidRPr="00751D8A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m.cherubini@vrelations.it</w:t>
        </w:r>
      </w:hyperlink>
      <w:r w:rsidR="0095769E">
        <w:rPr>
          <w:rFonts w:ascii="Arial" w:eastAsia="Calibri" w:hAnsi="Arial" w:cs="Arial"/>
          <w:color w:val="0000FF"/>
          <w:sz w:val="22"/>
          <w:szCs w:val="22"/>
          <w:u w:val="single"/>
        </w:rPr>
        <w:br/>
      </w:r>
    </w:p>
    <w:sectPr w:rsidR="00727706" w:rsidRPr="001B557C" w:rsidSect="008342D1">
      <w:headerReference w:type="default" r:id="rId9"/>
      <w:footerReference w:type="default" r:id="rId10"/>
      <w:pgSz w:w="11906" w:h="16838"/>
      <w:pgMar w:top="2552" w:right="1134" w:bottom="426" w:left="1134" w:header="708" w:footer="5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F35" w:rsidRDefault="002F2F35" w:rsidP="00E02F65">
      <w:pPr>
        <w:pStyle w:val="Pidipagina"/>
      </w:pPr>
      <w:r>
        <w:separator/>
      </w:r>
    </w:p>
  </w:endnote>
  <w:endnote w:type="continuationSeparator" w:id="0">
    <w:p w:rsidR="002F2F35" w:rsidRDefault="002F2F35" w:rsidP="00E02F65">
      <w:pPr>
        <w:pStyle w:val="Pidipagin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timu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F35" w:rsidRDefault="002F2F35">
    <w:pPr>
      <w:pStyle w:val="Pidipagina"/>
      <w:jc w:val="center"/>
      <w:rPr>
        <w:rFonts w:ascii="Optimum" w:hAnsi="Optimum"/>
        <w:color w:val="003366"/>
        <w:sz w:val="18"/>
      </w:rPr>
    </w:pPr>
  </w:p>
  <w:p w:rsidR="002F2F35" w:rsidRDefault="002F2F35">
    <w:pPr>
      <w:pStyle w:val="Pidipagina"/>
      <w:jc w:val="center"/>
      <w:rPr>
        <w:rFonts w:ascii="Optimum" w:hAnsi="Optimum"/>
        <w:color w:val="003366"/>
        <w:sz w:val="18"/>
      </w:rPr>
    </w:pPr>
  </w:p>
  <w:p w:rsidR="002F2F35" w:rsidRDefault="002F2F35">
    <w:pPr>
      <w:pStyle w:val="Pidipagina"/>
      <w:jc w:val="center"/>
      <w:rPr>
        <w:rFonts w:ascii="Optimum" w:hAnsi="Optimum"/>
        <w:color w:val="003366"/>
        <w:sz w:val="18"/>
      </w:rPr>
    </w:pPr>
  </w:p>
  <w:p w:rsidR="002F2F35" w:rsidRPr="00325BA1" w:rsidRDefault="002F2F35">
    <w:pPr>
      <w:pStyle w:val="Pidipagina"/>
      <w:jc w:val="center"/>
      <w:rPr>
        <w:rFonts w:ascii="Optimum" w:hAnsi="Optimum"/>
        <w:color w:val="003366"/>
        <w:sz w:val="18"/>
      </w:rPr>
    </w:pPr>
    <w:r>
      <w:rPr>
        <w:rFonts w:ascii="Optimum" w:hAnsi="Optimum"/>
        <w:color w:val="003366"/>
        <w:sz w:val="18"/>
      </w:rPr>
      <w:t xml:space="preserve">IBG - Passeggiata di Ripetta, 22 · </w:t>
    </w:r>
    <w:r w:rsidRPr="00325BA1">
      <w:rPr>
        <w:rFonts w:ascii="Optimum" w:hAnsi="Optimum"/>
        <w:color w:val="003366"/>
        <w:sz w:val="18"/>
      </w:rPr>
      <w:t>int. 1 · 00186 Roma · T: +39 06 5960 5324 · F: +39 06 5431 323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F35" w:rsidRDefault="002F2F35" w:rsidP="00E02F65">
      <w:pPr>
        <w:pStyle w:val="Pidipagina"/>
      </w:pPr>
      <w:r>
        <w:separator/>
      </w:r>
    </w:p>
  </w:footnote>
  <w:footnote w:type="continuationSeparator" w:id="0">
    <w:p w:rsidR="002F2F35" w:rsidRDefault="002F2F35" w:rsidP="00E02F65">
      <w:pPr>
        <w:pStyle w:val="Pidipagina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F35" w:rsidRPr="0094213D" w:rsidRDefault="002F2F35" w:rsidP="0094213D">
    <w:pPr>
      <w:pStyle w:val="Intestazione"/>
      <w:rPr>
        <w:rFonts w:ascii="Optimum" w:hAnsi="Optimum"/>
        <w:color w:val="336699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2356485</wp:posOffset>
          </wp:positionH>
          <wp:positionV relativeFrom="margin">
            <wp:posOffset>-1439545</wp:posOffset>
          </wp:positionV>
          <wp:extent cx="1363345" cy="971550"/>
          <wp:effectExtent l="0" t="0" r="8255" b="0"/>
          <wp:wrapSquare wrapText="bothSides"/>
          <wp:docPr id="8" name="Immagine 8" descr="Logo-IBG_n-6-fi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-IBG_n-6-fin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4722" t="32713" r="14722" b="19148"/>
                  <a:stretch>
                    <a:fillRect/>
                  </a:stretch>
                </pic:blipFill>
                <pic:spPr bwMode="auto">
                  <a:xfrm>
                    <a:off x="0" y="0"/>
                    <a:ext cx="13633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4213D">
      <w:rPr>
        <w:color w:val="336699"/>
      </w:rPr>
      <w:tab/>
      <w:t xml:space="preserve">                                                                                       </w:t>
    </w:r>
    <w:r>
      <w:rPr>
        <w:color w:val="336699"/>
      </w:rPr>
      <w:t xml:space="preserve">                                             </w:t>
    </w:r>
  </w:p>
  <w:p w:rsidR="002F2F35" w:rsidRPr="009970D6" w:rsidRDefault="004027C7" w:rsidP="009970D6">
    <w:pPr>
      <w:pStyle w:val="Intestazione"/>
      <w:jc w:val="right"/>
      <w:rPr>
        <w:rFonts w:ascii="Optimum" w:hAnsi="Optimum"/>
        <w:b/>
        <w:i/>
        <w:sz w:val="16"/>
        <w:szCs w:val="16"/>
      </w:rPr>
    </w:pPr>
    <w:r w:rsidRPr="004027C7">
      <w:rPr>
        <w:noProof/>
      </w:rPr>
      <w:pict>
        <v:shapetype id="_x0000_t109" coordsize="21600,21600" o:spt="109" path="m,l,21600r21600,l21600,xe">
          <v:stroke joinstyle="miter"/>
          <v:path gradientshapeok="t" o:connecttype="rect"/>
        </v:shapetype>
        <v:shape id="AutoShape 9" o:spid="_x0000_s12289" type="#_x0000_t109" style="position:absolute;left:0;text-align:left;margin-left:-10.5pt;margin-top:59.25pt;width:514.8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" fillcolor="#dbeef4" strokecolor="#f2f2f2" strokeweight="1pt">
          <v:fill color2="#4bacc6" angle="45" focus="100%" type="gradient"/>
          <v:shadow on="t" type="perspective" color="#b6dde8" opacity=".5" origin=",.5" offset="0,0" matrix=",-56756f,,.5"/>
        </v:shape>
      </w:pict>
    </w:r>
    <w:r w:rsidR="002F2F35">
      <w:rPr>
        <w:rFonts w:ascii="Optimum" w:hAnsi="Optimum"/>
        <w:b/>
        <w:i/>
        <w:sz w:val="16"/>
        <w:szCs w:val="16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9"/>
  <w:hyphenationZone w:val="283"/>
  <w:noPunctuationKerning/>
  <w:characterSpacingControl w:val="doNotCompress"/>
  <w:hdrShapeDefaults>
    <o:shapedefaults v:ext="edit" spidmax="1229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565"/>
    <w:rsid w:val="0004568A"/>
    <w:rsid w:val="00051B57"/>
    <w:rsid w:val="000A4B5B"/>
    <w:rsid w:val="001947B8"/>
    <w:rsid w:val="00197565"/>
    <w:rsid w:val="001A3688"/>
    <w:rsid w:val="001B557C"/>
    <w:rsid w:val="00206672"/>
    <w:rsid w:val="0022343A"/>
    <w:rsid w:val="00292B78"/>
    <w:rsid w:val="002E164A"/>
    <w:rsid w:val="002F212B"/>
    <w:rsid w:val="002F2F35"/>
    <w:rsid w:val="00325BA1"/>
    <w:rsid w:val="00374902"/>
    <w:rsid w:val="0038012F"/>
    <w:rsid w:val="003876F3"/>
    <w:rsid w:val="003901C4"/>
    <w:rsid w:val="00391913"/>
    <w:rsid w:val="003C5FD9"/>
    <w:rsid w:val="003D085E"/>
    <w:rsid w:val="004027C7"/>
    <w:rsid w:val="0045102D"/>
    <w:rsid w:val="00452B8A"/>
    <w:rsid w:val="004968DE"/>
    <w:rsid w:val="004A615B"/>
    <w:rsid w:val="004B7E46"/>
    <w:rsid w:val="005069AD"/>
    <w:rsid w:val="005221BB"/>
    <w:rsid w:val="00552562"/>
    <w:rsid w:val="005B52D4"/>
    <w:rsid w:val="00607518"/>
    <w:rsid w:val="006E4402"/>
    <w:rsid w:val="00713EA8"/>
    <w:rsid w:val="00722F07"/>
    <w:rsid w:val="00727706"/>
    <w:rsid w:val="00751D8A"/>
    <w:rsid w:val="00753D96"/>
    <w:rsid w:val="00771950"/>
    <w:rsid w:val="007E135D"/>
    <w:rsid w:val="00825526"/>
    <w:rsid w:val="008342D1"/>
    <w:rsid w:val="008F2AE0"/>
    <w:rsid w:val="0090613D"/>
    <w:rsid w:val="00940B93"/>
    <w:rsid w:val="0094213D"/>
    <w:rsid w:val="0095769E"/>
    <w:rsid w:val="00980336"/>
    <w:rsid w:val="009970D6"/>
    <w:rsid w:val="009A655D"/>
    <w:rsid w:val="009E7ED2"/>
    <w:rsid w:val="00A25C15"/>
    <w:rsid w:val="00A76A37"/>
    <w:rsid w:val="00A7731C"/>
    <w:rsid w:val="00A86F5E"/>
    <w:rsid w:val="00B3523D"/>
    <w:rsid w:val="00B42C6F"/>
    <w:rsid w:val="00C0307F"/>
    <w:rsid w:val="00C25172"/>
    <w:rsid w:val="00C36DB7"/>
    <w:rsid w:val="00C438C4"/>
    <w:rsid w:val="00CE0688"/>
    <w:rsid w:val="00D20BD1"/>
    <w:rsid w:val="00D666AB"/>
    <w:rsid w:val="00D87D47"/>
    <w:rsid w:val="00DA0F32"/>
    <w:rsid w:val="00E02F65"/>
    <w:rsid w:val="00E208DE"/>
    <w:rsid w:val="00E56E20"/>
    <w:rsid w:val="00E85025"/>
    <w:rsid w:val="00E94D5B"/>
    <w:rsid w:val="00EB192E"/>
    <w:rsid w:val="00EC6455"/>
    <w:rsid w:val="00ED1231"/>
    <w:rsid w:val="00EE45B5"/>
    <w:rsid w:val="00F13996"/>
    <w:rsid w:val="00F752A6"/>
    <w:rsid w:val="00F9047B"/>
    <w:rsid w:val="00F90F51"/>
    <w:rsid w:val="00FA4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20BD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52B8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52B8A"/>
    <w:pPr>
      <w:tabs>
        <w:tab w:val="center" w:pos="4819"/>
        <w:tab w:val="right" w:pos="9638"/>
      </w:tabs>
    </w:pPr>
  </w:style>
  <w:style w:type="paragraph" w:customStyle="1" w:styleId="provvr01">
    <w:name w:val="provv_r01"/>
    <w:basedOn w:val="Normale"/>
    <w:rsid w:val="00D20BD1"/>
    <w:pPr>
      <w:spacing w:before="100" w:beforeAutospacing="1" w:after="100" w:afterAutospacing="1"/>
      <w:jc w:val="both"/>
    </w:pPr>
    <w:rPr>
      <w:rFonts w:ascii="Verdana" w:hAnsi="Verdana"/>
    </w:rPr>
  </w:style>
  <w:style w:type="paragraph" w:styleId="Testofumetto">
    <w:name w:val="Balloon Text"/>
    <w:basedOn w:val="Normale"/>
    <w:link w:val="TestofumettoCarattere"/>
    <w:rsid w:val="009803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80336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87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87D47"/>
    <w:rPr>
      <w:rFonts w:ascii="Courier New" w:eastAsiaTheme="minorHAnsi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cherubini@vrelations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nghi\Desktop\CARTA%20INTESTATA%20IBG%20GRUPPO%20BIOSIMILAR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D9B62-E156-4367-A277-EBD9F4158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IBG GRUPPO BIOSIMILARI</Template>
  <TotalTime>62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POLARIS s.a.s.</Company>
  <LinksUpToDate>false</LinksUpToDate>
  <CharactersWithSpaces>3482</CharactersWithSpaces>
  <SharedDoc>false</SharedDoc>
  <HLinks>
    <vt:vector size="6" baseType="variant">
      <vt:variant>
        <vt:i4>8257604</vt:i4>
      </vt:variant>
      <vt:variant>
        <vt:i4>-1</vt:i4>
      </vt:variant>
      <vt:variant>
        <vt:i4>2049</vt:i4>
      </vt:variant>
      <vt:variant>
        <vt:i4>1</vt:i4>
      </vt:variant>
      <vt:variant>
        <vt:lpwstr>cid:image003.jpg@01CF2411.1FD2B3E0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Longhi</dc:creator>
  <cp:keywords/>
  <cp:lastModifiedBy>Valued Acer Customer</cp:lastModifiedBy>
  <cp:revision>63</cp:revision>
  <cp:lastPrinted>2008-04-11T16:48:00Z</cp:lastPrinted>
  <dcterms:created xsi:type="dcterms:W3CDTF">2016-07-14T08:49:00Z</dcterms:created>
  <dcterms:modified xsi:type="dcterms:W3CDTF">2016-07-15T07:35:00Z</dcterms:modified>
</cp:coreProperties>
</file>