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039" w:rsidRPr="00112FD1" w:rsidRDefault="00112FD1" w:rsidP="00CE51EF">
      <w:pPr>
        <w:pStyle w:val="PreformattatoHTML"/>
        <w:jc w:val="center"/>
        <w:rPr>
          <w:rFonts w:ascii="Arial" w:hAnsi="Arial" w:cs="Arial"/>
          <w:i/>
          <w:sz w:val="22"/>
          <w:szCs w:val="22"/>
          <w:u w:val="single"/>
        </w:rPr>
      </w:pPr>
      <w:r w:rsidRPr="00112FD1">
        <w:rPr>
          <w:rFonts w:ascii="Arial" w:hAnsi="Arial" w:cs="Arial"/>
          <w:i/>
          <w:sz w:val="22"/>
          <w:szCs w:val="22"/>
          <w:u w:val="single"/>
        </w:rPr>
        <w:t>Comunicato stampa</w:t>
      </w:r>
    </w:p>
    <w:p w:rsidR="00112FD1" w:rsidRDefault="00112FD1" w:rsidP="00CE51EF">
      <w:pPr>
        <w:pStyle w:val="PreformattatoHTML"/>
        <w:jc w:val="center"/>
        <w:rPr>
          <w:rFonts w:ascii="Arial" w:hAnsi="Arial" w:cs="Arial"/>
          <w:b/>
          <w:sz w:val="22"/>
          <w:szCs w:val="22"/>
        </w:rPr>
      </w:pPr>
    </w:p>
    <w:p w:rsidR="00013251" w:rsidRPr="00013251" w:rsidRDefault="00013251" w:rsidP="00013251">
      <w:pPr>
        <w:pStyle w:val="PreformattatoHTML"/>
        <w:jc w:val="center"/>
        <w:rPr>
          <w:rFonts w:ascii="Arial" w:hAnsi="Arial" w:cs="Arial"/>
          <w:b/>
          <w:bCs/>
          <w:sz w:val="32"/>
          <w:szCs w:val="32"/>
        </w:rPr>
      </w:pPr>
      <w:r w:rsidRPr="00013251">
        <w:rPr>
          <w:rFonts w:ascii="Arial" w:hAnsi="Arial" w:cs="Arial"/>
          <w:b/>
          <w:bCs/>
          <w:sz w:val="32"/>
          <w:szCs w:val="32"/>
        </w:rPr>
        <w:t>Spesa farmaceutica: non c’è equilibrio senza un ruolo crescente di equivalenti e biosimilari</w:t>
      </w:r>
    </w:p>
    <w:p w:rsidR="00112FD1" w:rsidRDefault="00112FD1" w:rsidP="00CE51EF">
      <w:pPr>
        <w:pStyle w:val="PreformattatoHTML"/>
        <w:jc w:val="center"/>
        <w:rPr>
          <w:rFonts w:ascii="Arial" w:hAnsi="Arial" w:cs="Arial"/>
          <w:b/>
          <w:sz w:val="22"/>
          <w:szCs w:val="22"/>
        </w:rPr>
      </w:pPr>
    </w:p>
    <w:p w:rsidR="00823039" w:rsidRDefault="005937CF" w:rsidP="00013251">
      <w:pPr>
        <w:spacing w:line="276" w:lineRule="auto"/>
        <w:jc w:val="both"/>
        <w:rPr>
          <w:rFonts w:ascii="Arial" w:hAnsi="Arial" w:cs="Arial"/>
          <w:sz w:val="22"/>
          <w:szCs w:val="22"/>
        </w:rPr>
      </w:pPr>
      <w:r w:rsidRPr="005937CF">
        <w:rPr>
          <w:rFonts w:ascii="Arial" w:eastAsia="Calibri" w:hAnsi="Arial" w:cs="Arial"/>
          <w:b/>
          <w:sz w:val="22"/>
          <w:szCs w:val="22"/>
          <w:lang w:eastAsia="en-US"/>
        </w:rPr>
        <w:t xml:space="preserve">Roma, </w:t>
      </w:r>
      <w:r w:rsidR="00013251">
        <w:rPr>
          <w:rFonts w:ascii="Arial" w:eastAsia="Calibri" w:hAnsi="Arial" w:cs="Arial"/>
          <w:b/>
          <w:sz w:val="22"/>
          <w:szCs w:val="22"/>
          <w:lang w:eastAsia="en-US"/>
        </w:rPr>
        <w:t>8 gennaio 2016</w:t>
      </w:r>
      <w:r w:rsidRPr="005937CF">
        <w:rPr>
          <w:rFonts w:ascii="Arial" w:eastAsia="Calibri" w:hAnsi="Arial" w:cs="Arial"/>
          <w:sz w:val="22"/>
          <w:szCs w:val="22"/>
          <w:lang w:eastAsia="en-US"/>
        </w:rPr>
        <w:t xml:space="preserve"> – </w:t>
      </w:r>
      <w:r w:rsidR="00013251" w:rsidRPr="00013251">
        <w:rPr>
          <w:rFonts w:ascii="Arial" w:eastAsia="Calibri" w:hAnsi="Arial" w:cs="Arial"/>
          <w:color w:val="000000"/>
          <w:sz w:val="22"/>
          <w:szCs w:val="22"/>
          <w:lang w:eastAsia="en-US"/>
        </w:rPr>
        <w:t xml:space="preserve">“Nella comunicazione dell’AIFA pubblicata sul Journal of Generic Medicines è detto in modo chiarissimo quanto l’equilibrio della spesa farmaceutica, e di conseguenza di quella sanitaria, dipendano in larga misura dalla capacità di sfruttare la leva offerta dalla presenza dei medicinali equivalenti e, più recentemente, dei biosimilari” dice il </w:t>
      </w:r>
      <w:r w:rsidR="00013251" w:rsidRPr="000010A9">
        <w:rPr>
          <w:rFonts w:ascii="Arial" w:eastAsia="Calibri" w:hAnsi="Arial" w:cs="Arial"/>
          <w:b/>
          <w:color w:val="000000"/>
          <w:sz w:val="22"/>
          <w:szCs w:val="22"/>
          <w:lang w:eastAsia="en-US"/>
        </w:rPr>
        <w:t xml:space="preserve">presidente di AssoGenerici, Enrique </w:t>
      </w:r>
      <w:proofErr w:type="spellStart"/>
      <w:r w:rsidR="00013251" w:rsidRPr="000010A9">
        <w:rPr>
          <w:rFonts w:ascii="Arial" w:eastAsia="Calibri" w:hAnsi="Arial" w:cs="Arial"/>
          <w:b/>
          <w:color w:val="000000"/>
          <w:sz w:val="22"/>
          <w:szCs w:val="22"/>
          <w:lang w:eastAsia="en-US"/>
        </w:rPr>
        <w:t>Häusermann</w:t>
      </w:r>
      <w:proofErr w:type="spellEnd"/>
      <w:r w:rsidR="00013251" w:rsidRPr="00013251">
        <w:rPr>
          <w:rFonts w:ascii="Arial" w:eastAsia="Calibri" w:hAnsi="Arial" w:cs="Arial"/>
          <w:color w:val="000000"/>
          <w:sz w:val="22"/>
          <w:szCs w:val="22"/>
          <w:lang w:eastAsia="en-US"/>
        </w:rPr>
        <w:t xml:space="preserve">. Nel contributo apparso sull’ultimo numero della rivista si mostra infatti che i medicinali a brevetto scaduto rappresentano il 46,6 % della spesa del SSN per ciascun cittadino, ma a questa quota corrisponde poco meno del 70% di tutti i medicinali </w:t>
      </w:r>
      <w:proofErr w:type="gramStart"/>
      <w:r w:rsidR="00013251" w:rsidRPr="00013251">
        <w:rPr>
          <w:rFonts w:ascii="Arial" w:eastAsia="Calibri" w:hAnsi="Arial" w:cs="Arial"/>
          <w:color w:val="000000"/>
          <w:sz w:val="22"/>
          <w:szCs w:val="22"/>
          <w:lang w:eastAsia="en-US"/>
        </w:rPr>
        <w:t>rimborsati  assunti</w:t>
      </w:r>
      <w:proofErr w:type="gramEnd"/>
      <w:r w:rsidR="00013251" w:rsidRPr="00013251">
        <w:rPr>
          <w:rFonts w:ascii="Arial" w:eastAsia="Calibri" w:hAnsi="Arial" w:cs="Arial"/>
          <w:color w:val="000000"/>
          <w:sz w:val="22"/>
          <w:szCs w:val="22"/>
          <w:lang w:eastAsia="en-US"/>
        </w:rPr>
        <w:t xml:space="preserve"> dai pazienti italiani (DDD/1000 abitanti die). “La tendenza all’aumento di questa quota, che è cresciuta di quasi il 5% tra il 2013 e il 2014, è uno dei fattori del sostanziale controllo che si registra nella spesa territoriale, ribadito anche dai dati sui c</w:t>
      </w:r>
      <w:bookmarkStart w:id="0" w:name="_GoBack"/>
      <w:bookmarkEnd w:id="0"/>
      <w:r w:rsidR="00013251" w:rsidRPr="00013251">
        <w:rPr>
          <w:rFonts w:ascii="Arial" w:eastAsia="Calibri" w:hAnsi="Arial" w:cs="Arial"/>
          <w:color w:val="000000"/>
          <w:sz w:val="22"/>
          <w:szCs w:val="22"/>
          <w:lang w:eastAsia="en-US"/>
        </w:rPr>
        <w:t xml:space="preserve">onsumi nei primi otto mesi del 2015. Resta il fatto che mentre i farmaci branded a brevetto scaduto rappresentano 30,4% della spesa SSN, gli equivalenti puri sono al 16,3% della spesa pubblica, un dato migliore soltanto di quello esibito da Irlanda e Grecia e lontano dal quello registrato in Francia, Germania e Regno Unito - prosegue </w:t>
      </w:r>
      <w:proofErr w:type="spellStart"/>
      <w:r w:rsidR="00013251" w:rsidRPr="00013251">
        <w:rPr>
          <w:rFonts w:ascii="Arial" w:eastAsia="Calibri" w:hAnsi="Arial" w:cs="Arial"/>
          <w:color w:val="000000"/>
          <w:sz w:val="22"/>
          <w:szCs w:val="22"/>
          <w:lang w:eastAsia="en-US"/>
        </w:rPr>
        <w:t>Häusermann</w:t>
      </w:r>
      <w:proofErr w:type="spellEnd"/>
      <w:r w:rsidR="00013251" w:rsidRPr="00013251">
        <w:rPr>
          <w:rFonts w:ascii="Arial" w:eastAsia="Calibri" w:hAnsi="Arial" w:cs="Arial"/>
          <w:color w:val="000000"/>
          <w:sz w:val="22"/>
          <w:szCs w:val="22"/>
          <w:lang w:eastAsia="en-US"/>
        </w:rPr>
        <w:t xml:space="preserve"> - eppure è alla presenza del generico che si deve la sostanziale discesa dei prezzi”. Inediti i dati presentati a proposito dei biosimilari: secondo l’analisi dell’AIFA, nel 2014 l’aumento del ricorso ai biosimilari ha determinato la diminuzione del costo pro capite del trattamento con ormone della crescita e </w:t>
      </w:r>
      <w:proofErr w:type="spellStart"/>
      <w:r w:rsidR="00013251" w:rsidRPr="00013251">
        <w:rPr>
          <w:rFonts w:ascii="Arial" w:eastAsia="Calibri" w:hAnsi="Arial" w:cs="Arial"/>
          <w:color w:val="000000"/>
          <w:sz w:val="22"/>
          <w:szCs w:val="22"/>
          <w:lang w:eastAsia="en-US"/>
        </w:rPr>
        <w:t>epoetina</w:t>
      </w:r>
      <w:proofErr w:type="spellEnd"/>
      <w:r w:rsidR="00013251" w:rsidRPr="00013251">
        <w:rPr>
          <w:rFonts w:ascii="Arial" w:eastAsia="Calibri" w:hAnsi="Arial" w:cs="Arial"/>
          <w:color w:val="000000"/>
          <w:sz w:val="22"/>
          <w:szCs w:val="22"/>
          <w:lang w:eastAsia="en-US"/>
        </w:rPr>
        <w:t xml:space="preserve"> alfa rispettivamente dell’11% e del 3%. Non solo: nel caso dell’</w:t>
      </w:r>
      <w:proofErr w:type="spellStart"/>
      <w:r w:rsidR="00013251" w:rsidRPr="00013251">
        <w:rPr>
          <w:rFonts w:ascii="Arial" w:eastAsia="Calibri" w:hAnsi="Arial" w:cs="Arial"/>
          <w:color w:val="000000"/>
          <w:sz w:val="22"/>
          <w:szCs w:val="22"/>
          <w:lang w:eastAsia="en-US"/>
        </w:rPr>
        <w:t>epoeti</w:t>
      </w:r>
      <w:r w:rsidR="00013251">
        <w:rPr>
          <w:rFonts w:ascii="Arial" w:eastAsia="Calibri" w:hAnsi="Arial" w:cs="Arial"/>
          <w:color w:val="000000"/>
          <w:sz w:val="22"/>
          <w:szCs w:val="22"/>
          <w:lang w:eastAsia="en-US"/>
        </w:rPr>
        <w:t>na</w:t>
      </w:r>
      <w:proofErr w:type="spellEnd"/>
      <w:r w:rsidR="00013251">
        <w:rPr>
          <w:rFonts w:ascii="Arial" w:eastAsia="Calibri" w:hAnsi="Arial" w:cs="Arial"/>
          <w:color w:val="000000"/>
          <w:sz w:val="22"/>
          <w:szCs w:val="22"/>
          <w:lang w:eastAsia="en-US"/>
        </w:rPr>
        <w:t xml:space="preserve"> alfa è stato dimostrato che </w:t>
      </w:r>
      <w:r w:rsidR="00013251" w:rsidRPr="00013251">
        <w:rPr>
          <w:rFonts w:ascii="Arial" w:eastAsia="Calibri" w:hAnsi="Arial" w:cs="Arial"/>
          <w:color w:val="000000"/>
          <w:sz w:val="22"/>
          <w:szCs w:val="22"/>
          <w:lang w:eastAsia="en-US"/>
        </w:rPr>
        <w:t>un aumento dell’1% nel rapporto tra pazienti native trattati con biosimilari e numero totale dei pazienti che cominciano il trattamento con questo farmaco, determina una riduzione della spesa complessiva pari allo 0,09%, vale a dire oltre 145.000 euro. Negli ultimi tre anni, il solo impiego nei pazienti naïve del biosimilare ha reso possibile un risparmio di otto milioni di euro. “Oggi che misuriamo concretamente l’impatto dell’innovazione sulla spesa farmaceutica ospedaliera, con gli antivirali per il trattamento dell’epatite C cronica, mi sembra evidente che i bi</w:t>
      </w:r>
      <w:r w:rsidR="000010A9">
        <w:rPr>
          <w:rFonts w:ascii="Arial" w:eastAsia="Calibri" w:hAnsi="Arial" w:cs="Arial"/>
          <w:color w:val="000000"/>
          <w:sz w:val="22"/>
          <w:szCs w:val="22"/>
          <w:lang w:eastAsia="en-US"/>
        </w:rPr>
        <w:t xml:space="preserve">osimilari possano non soltanto </w:t>
      </w:r>
      <w:r w:rsidR="00013251" w:rsidRPr="00013251">
        <w:rPr>
          <w:rFonts w:ascii="Arial" w:eastAsia="Calibri" w:hAnsi="Arial" w:cs="Arial"/>
          <w:color w:val="000000"/>
          <w:sz w:val="22"/>
          <w:szCs w:val="22"/>
          <w:lang w:eastAsia="en-US"/>
        </w:rPr>
        <w:t>contenere l’esborso pubblico, ma direttamente consentire l’impiego delle terapie di ultima generazione liberando le risorse necessarie. Ma è evidente, come ha affermato l’AIFA, che questo richiede innanzitutto un’opera di acculturazione generale, ormai indilazionabile, visto l’arrivo imminente di altri e costosi trattamenti per condizioni molto diffuse, a cominciare d</w:t>
      </w:r>
      <w:r w:rsidR="000010A9">
        <w:rPr>
          <w:rFonts w:ascii="Arial" w:eastAsia="Calibri" w:hAnsi="Arial" w:cs="Arial"/>
          <w:color w:val="000000"/>
          <w:sz w:val="22"/>
          <w:szCs w:val="22"/>
          <w:lang w:eastAsia="en-US"/>
        </w:rPr>
        <w:t>e</w:t>
      </w:r>
      <w:r w:rsidR="00013251" w:rsidRPr="00013251">
        <w:rPr>
          <w:rFonts w:ascii="Arial" w:eastAsia="Calibri" w:hAnsi="Arial" w:cs="Arial"/>
          <w:color w:val="000000"/>
          <w:sz w:val="22"/>
          <w:szCs w:val="22"/>
          <w:lang w:eastAsia="en-US"/>
        </w:rPr>
        <w:t>ll’ipercolesterolemia. Ci auguriamo che gli importanti messaggi che l’AIFA ha rivolto alla comunità scientifica e al decisore sanitario vengano tenuti nella giusta considerazione” conclude il presidente di AssoGenerici.</w:t>
      </w:r>
    </w:p>
    <w:p w:rsidR="00823039" w:rsidRDefault="00823039" w:rsidP="00823039">
      <w:pPr>
        <w:pStyle w:val="Default"/>
        <w:jc w:val="both"/>
        <w:rPr>
          <w:rFonts w:ascii="Arial" w:hAnsi="Arial" w:cs="Arial"/>
          <w:sz w:val="22"/>
          <w:szCs w:val="22"/>
        </w:rPr>
      </w:pPr>
    </w:p>
    <w:p w:rsidR="008076B5" w:rsidRDefault="008076B5" w:rsidP="00823039">
      <w:pPr>
        <w:pStyle w:val="Default"/>
        <w:jc w:val="both"/>
        <w:rPr>
          <w:rFonts w:ascii="Arial" w:hAnsi="Arial" w:cs="Arial"/>
          <w:sz w:val="22"/>
          <w:szCs w:val="22"/>
        </w:rPr>
      </w:pPr>
    </w:p>
    <w:p w:rsidR="008076B5" w:rsidRPr="00DD651A" w:rsidRDefault="008076B5" w:rsidP="00823039">
      <w:pPr>
        <w:pStyle w:val="Default"/>
        <w:jc w:val="both"/>
        <w:rPr>
          <w:rFonts w:ascii="Arial" w:hAnsi="Arial" w:cs="Arial"/>
          <w:sz w:val="22"/>
          <w:szCs w:val="22"/>
        </w:rPr>
      </w:pPr>
    </w:p>
    <w:p w:rsidR="007D75BE" w:rsidRPr="007D75BE" w:rsidRDefault="007D75BE" w:rsidP="007D75BE">
      <w:pPr>
        <w:rPr>
          <w:rFonts w:ascii="Arial" w:eastAsia="Calibri" w:hAnsi="Arial" w:cs="Arial"/>
          <w:b/>
          <w:sz w:val="22"/>
          <w:szCs w:val="22"/>
        </w:rPr>
      </w:pPr>
      <w:r w:rsidRPr="007D75BE">
        <w:rPr>
          <w:rFonts w:ascii="Arial" w:eastAsia="Calibri" w:hAnsi="Arial" w:cs="Arial"/>
          <w:b/>
          <w:sz w:val="22"/>
          <w:szCs w:val="22"/>
        </w:rPr>
        <w:t>Per ulteriori informazioni:</w:t>
      </w:r>
    </w:p>
    <w:p w:rsidR="00522C06" w:rsidRDefault="000743E2">
      <w:pPr>
        <w:rPr>
          <w:rFonts w:ascii="Arial" w:eastAsia="Calibri" w:hAnsi="Arial" w:cs="Arial"/>
          <w:sz w:val="22"/>
          <w:szCs w:val="22"/>
        </w:rPr>
      </w:pPr>
      <w:r>
        <w:rPr>
          <w:noProof/>
        </w:rPr>
        <w:drawing>
          <wp:inline distT="0" distB="0" distL="0" distR="0" wp14:anchorId="4CC55189" wp14:editId="4F9A4EDE">
            <wp:extent cx="1381125" cy="438150"/>
            <wp:effectExtent l="0" t="0" r="9525" b="0"/>
            <wp:docPr id="1" name="Immagine 11" descr="Firma10.JPG"/>
            <wp:cNvGraphicFramePr/>
            <a:graphic xmlns:a="http://schemas.openxmlformats.org/drawingml/2006/main">
              <a:graphicData uri="http://schemas.openxmlformats.org/drawingml/2006/picture">
                <pic:pic xmlns:pic="http://schemas.openxmlformats.org/drawingml/2006/picture">
                  <pic:nvPicPr>
                    <pic:cNvPr id="1" name="Immagine 11" descr="Firma10.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438150"/>
                    </a:xfrm>
                    <a:prstGeom prst="rect">
                      <a:avLst/>
                    </a:prstGeom>
                    <a:noFill/>
                    <a:ln>
                      <a:noFill/>
                    </a:ln>
                  </pic:spPr>
                </pic:pic>
              </a:graphicData>
            </a:graphic>
          </wp:inline>
        </w:drawing>
      </w:r>
      <w:r w:rsidR="007D75BE" w:rsidRPr="007D75BE">
        <w:rPr>
          <w:rFonts w:ascii="Arial" w:eastAsia="Calibri" w:hAnsi="Arial" w:cs="Arial"/>
          <w:sz w:val="22"/>
          <w:szCs w:val="22"/>
        </w:rPr>
        <w:br/>
        <w:t>Ufficio Stampa AssoGenerici</w:t>
      </w:r>
      <w:r w:rsidR="007D75BE" w:rsidRPr="007D75BE">
        <w:rPr>
          <w:rFonts w:ascii="Arial" w:eastAsia="Calibri" w:hAnsi="Arial" w:cs="Arial"/>
          <w:sz w:val="22"/>
          <w:szCs w:val="22"/>
        </w:rPr>
        <w:br/>
        <w:t>tel. 02/2042491</w:t>
      </w:r>
    </w:p>
    <w:p w:rsidR="00900BD6" w:rsidRDefault="007D75BE">
      <w:r w:rsidRPr="007D75BE">
        <w:rPr>
          <w:rFonts w:ascii="Arial" w:eastAsia="Calibri" w:hAnsi="Arial" w:cs="Arial"/>
          <w:sz w:val="22"/>
          <w:szCs w:val="22"/>
        </w:rPr>
        <w:t>Massimo Cher</w:t>
      </w:r>
      <w:r w:rsidR="00441586">
        <w:rPr>
          <w:rFonts w:ascii="Arial" w:eastAsia="Calibri" w:hAnsi="Arial" w:cs="Arial"/>
          <w:sz w:val="22"/>
          <w:szCs w:val="22"/>
        </w:rPr>
        <w:t>ubini - cellulare 335/8231</w:t>
      </w:r>
      <w:r w:rsidRPr="007D75BE">
        <w:rPr>
          <w:rFonts w:ascii="Arial" w:eastAsia="Calibri" w:hAnsi="Arial" w:cs="Arial"/>
          <w:sz w:val="22"/>
          <w:szCs w:val="22"/>
        </w:rPr>
        <w:t>700</w:t>
      </w:r>
      <w:r w:rsidRPr="007D75BE">
        <w:rPr>
          <w:rFonts w:ascii="Arial" w:eastAsia="Calibri" w:hAnsi="Arial" w:cs="Arial"/>
          <w:sz w:val="22"/>
          <w:szCs w:val="22"/>
        </w:rPr>
        <w:br/>
        <w:t xml:space="preserve">e-mail: </w:t>
      </w:r>
      <w:hyperlink r:id="rId8" w:history="1">
        <w:r w:rsidRPr="007D75BE">
          <w:rPr>
            <w:rFonts w:ascii="Arial" w:eastAsia="Calibri" w:hAnsi="Arial" w:cs="Arial"/>
            <w:color w:val="0000FF"/>
            <w:sz w:val="22"/>
            <w:szCs w:val="22"/>
            <w:u w:val="single"/>
          </w:rPr>
          <w:t>m.cherubini@vrelations.it</w:t>
        </w:r>
      </w:hyperlink>
    </w:p>
    <w:sectPr w:rsidR="00900BD6" w:rsidSect="003733BB">
      <w:headerReference w:type="default" r:id="rId9"/>
      <w:footerReference w:type="default" r:id="rId10"/>
      <w:pgSz w:w="11906" w:h="16838"/>
      <w:pgMar w:top="2977"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D45" w:rsidRDefault="00836D45" w:rsidP="007D75BE">
      <w:r>
        <w:separator/>
      </w:r>
    </w:p>
  </w:endnote>
  <w:endnote w:type="continuationSeparator" w:id="0">
    <w:p w:rsidR="00836D45" w:rsidRDefault="00836D45" w:rsidP="007D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um">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F79" w:rsidRPr="00067F79" w:rsidRDefault="00067F79" w:rsidP="00067F79">
    <w:pPr>
      <w:tabs>
        <w:tab w:val="center" w:pos="4819"/>
        <w:tab w:val="right" w:pos="9638"/>
      </w:tabs>
      <w:jc w:val="center"/>
      <w:rPr>
        <w:rFonts w:ascii="Optimum" w:eastAsia="Times New Roman" w:hAnsi="Optimum"/>
        <w:color w:val="003366"/>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D45" w:rsidRDefault="00836D45" w:rsidP="007D75BE">
      <w:r>
        <w:separator/>
      </w:r>
    </w:p>
  </w:footnote>
  <w:footnote w:type="continuationSeparator" w:id="0">
    <w:p w:rsidR="00836D45" w:rsidRDefault="00836D45" w:rsidP="007D7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F79" w:rsidRDefault="000232CB">
    <w:pPr>
      <w:pStyle w:val="Intestazione"/>
    </w:pPr>
    <w:r>
      <w:rPr>
        <w:noProof/>
      </w:rPr>
      <w:drawing>
        <wp:inline distT="0" distB="0" distL="0" distR="0" wp14:anchorId="7D7020B1">
          <wp:extent cx="6120765" cy="1176655"/>
          <wp:effectExtent l="0" t="0" r="0" b="444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1766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5BE"/>
    <w:rsid w:val="000010A9"/>
    <w:rsid w:val="00013251"/>
    <w:rsid w:val="000232CB"/>
    <w:rsid w:val="000605C9"/>
    <w:rsid w:val="00067F79"/>
    <w:rsid w:val="000743E2"/>
    <w:rsid w:val="000F16BB"/>
    <w:rsid w:val="00112FD1"/>
    <w:rsid w:val="001649CA"/>
    <w:rsid w:val="001705A1"/>
    <w:rsid w:val="00191BE1"/>
    <w:rsid w:val="001B14F0"/>
    <w:rsid w:val="001B482F"/>
    <w:rsid w:val="0021368E"/>
    <w:rsid w:val="00306C8C"/>
    <w:rsid w:val="00315BEA"/>
    <w:rsid w:val="00327DDD"/>
    <w:rsid w:val="00347B1C"/>
    <w:rsid w:val="00350487"/>
    <w:rsid w:val="003733BB"/>
    <w:rsid w:val="00405868"/>
    <w:rsid w:val="00441586"/>
    <w:rsid w:val="004708F0"/>
    <w:rsid w:val="004F2E40"/>
    <w:rsid w:val="005117E6"/>
    <w:rsid w:val="00522C06"/>
    <w:rsid w:val="00535D47"/>
    <w:rsid w:val="005937CF"/>
    <w:rsid w:val="005A443C"/>
    <w:rsid w:val="006247AF"/>
    <w:rsid w:val="0069680C"/>
    <w:rsid w:val="006C0174"/>
    <w:rsid w:val="006C7C71"/>
    <w:rsid w:val="00740B1D"/>
    <w:rsid w:val="00747C87"/>
    <w:rsid w:val="0075479F"/>
    <w:rsid w:val="007957F5"/>
    <w:rsid w:val="007D75BE"/>
    <w:rsid w:val="007F420D"/>
    <w:rsid w:val="008076B5"/>
    <w:rsid w:val="00807C9F"/>
    <w:rsid w:val="00823039"/>
    <w:rsid w:val="00836D45"/>
    <w:rsid w:val="0084736E"/>
    <w:rsid w:val="00865750"/>
    <w:rsid w:val="0089014E"/>
    <w:rsid w:val="008968D9"/>
    <w:rsid w:val="008C1F18"/>
    <w:rsid w:val="00900BD6"/>
    <w:rsid w:val="009737D0"/>
    <w:rsid w:val="00A1665B"/>
    <w:rsid w:val="00A53D88"/>
    <w:rsid w:val="00AD072E"/>
    <w:rsid w:val="00B11405"/>
    <w:rsid w:val="00B62FAA"/>
    <w:rsid w:val="00B747FB"/>
    <w:rsid w:val="00BF3246"/>
    <w:rsid w:val="00BF57E0"/>
    <w:rsid w:val="00C05D74"/>
    <w:rsid w:val="00C55554"/>
    <w:rsid w:val="00CA3AE9"/>
    <w:rsid w:val="00CE51EF"/>
    <w:rsid w:val="00D023C2"/>
    <w:rsid w:val="00D148B3"/>
    <w:rsid w:val="00D23AD2"/>
    <w:rsid w:val="00D46E7A"/>
    <w:rsid w:val="00D554A3"/>
    <w:rsid w:val="00D72C44"/>
    <w:rsid w:val="00D73975"/>
    <w:rsid w:val="00D85CE4"/>
    <w:rsid w:val="00D8737B"/>
    <w:rsid w:val="00DA310B"/>
    <w:rsid w:val="00DD651A"/>
    <w:rsid w:val="00DF4CE1"/>
    <w:rsid w:val="00DF648B"/>
    <w:rsid w:val="00E62E94"/>
    <w:rsid w:val="00EF5D1F"/>
    <w:rsid w:val="00F21D82"/>
    <w:rsid w:val="00F21F1B"/>
    <w:rsid w:val="00F450EA"/>
    <w:rsid w:val="00F62FA8"/>
    <w:rsid w:val="00F82690"/>
    <w:rsid w:val="00F87847"/>
    <w:rsid w:val="00FA40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6597F3F-208E-4052-8593-C9941B65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D75BE"/>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unhideWhenUsed/>
    <w:rsid w:val="007D7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7D75BE"/>
    <w:rPr>
      <w:rFonts w:ascii="Courier New" w:hAnsi="Courier New" w:cs="Courier New"/>
      <w:sz w:val="20"/>
      <w:szCs w:val="20"/>
      <w:lang w:eastAsia="it-IT"/>
    </w:rPr>
  </w:style>
  <w:style w:type="paragraph" w:styleId="Intestazione">
    <w:name w:val="header"/>
    <w:basedOn w:val="Normale"/>
    <w:link w:val="IntestazioneCarattere"/>
    <w:uiPriority w:val="99"/>
    <w:unhideWhenUsed/>
    <w:rsid w:val="007D75BE"/>
    <w:pPr>
      <w:tabs>
        <w:tab w:val="center" w:pos="4819"/>
        <w:tab w:val="right" w:pos="9638"/>
      </w:tabs>
    </w:pPr>
  </w:style>
  <w:style w:type="character" w:customStyle="1" w:styleId="IntestazioneCarattere">
    <w:name w:val="Intestazione Carattere"/>
    <w:basedOn w:val="Carpredefinitoparagrafo"/>
    <w:link w:val="Intestazione"/>
    <w:uiPriority w:val="99"/>
    <w:rsid w:val="007D75BE"/>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7D75BE"/>
    <w:pPr>
      <w:tabs>
        <w:tab w:val="center" w:pos="4819"/>
        <w:tab w:val="right" w:pos="9638"/>
      </w:tabs>
    </w:pPr>
  </w:style>
  <w:style w:type="character" w:customStyle="1" w:styleId="PidipaginaCarattere">
    <w:name w:val="Piè di pagina Carattere"/>
    <w:basedOn w:val="Carpredefinitoparagrafo"/>
    <w:link w:val="Pidipagina"/>
    <w:uiPriority w:val="99"/>
    <w:rsid w:val="007D75BE"/>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EF5D1F"/>
    <w:rPr>
      <w:color w:val="0563C1" w:themeColor="hyperlink"/>
      <w:u w:val="single"/>
    </w:rPr>
  </w:style>
  <w:style w:type="paragraph" w:customStyle="1" w:styleId="Default">
    <w:name w:val="Default"/>
    <w:basedOn w:val="Normale"/>
    <w:rsid w:val="00DD651A"/>
    <w:pPr>
      <w:autoSpaceDE w:val="0"/>
      <w:autoSpaceDN w:val="0"/>
    </w:pPr>
    <w:rPr>
      <w:rFonts w:ascii="Century Gothic" w:eastAsia="Calibri" w:hAnsi="Century Gothic"/>
      <w:color w:val="000000"/>
    </w:rPr>
  </w:style>
  <w:style w:type="paragraph" w:styleId="Testofumetto">
    <w:name w:val="Balloon Text"/>
    <w:basedOn w:val="Normale"/>
    <w:link w:val="TestofumettoCarattere"/>
    <w:uiPriority w:val="99"/>
    <w:semiHidden/>
    <w:unhideWhenUsed/>
    <w:rsid w:val="006C7C7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7C71"/>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86076">
      <w:bodyDiv w:val="1"/>
      <w:marLeft w:val="0"/>
      <w:marRight w:val="0"/>
      <w:marTop w:val="0"/>
      <w:marBottom w:val="0"/>
      <w:divBdr>
        <w:top w:val="none" w:sz="0" w:space="0" w:color="auto"/>
        <w:left w:val="none" w:sz="0" w:space="0" w:color="auto"/>
        <w:bottom w:val="none" w:sz="0" w:space="0" w:color="auto"/>
        <w:right w:val="none" w:sz="0" w:space="0" w:color="auto"/>
      </w:divBdr>
    </w:div>
    <w:div w:id="341125232">
      <w:bodyDiv w:val="1"/>
      <w:marLeft w:val="0"/>
      <w:marRight w:val="0"/>
      <w:marTop w:val="0"/>
      <w:marBottom w:val="0"/>
      <w:divBdr>
        <w:top w:val="none" w:sz="0" w:space="0" w:color="auto"/>
        <w:left w:val="none" w:sz="0" w:space="0" w:color="auto"/>
        <w:bottom w:val="none" w:sz="0" w:space="0" w:color="auto"/>
        <w:right w:val="none" w:sz="0" w:space="0" w:color="auto"/>
      </w:divBdr>
    </w:div>
    <w:div w:id="453409336">
      <w:bodyDiv w:val="1"/>
      <w:marLeft w:val="0"/>
      <w:marRight w:val="0"/>
      <w:marTop w:val="0"/>
      <w:marBottom w:val="0"/>
      <w:divBdr>
        <w:top w:val="none" w:sz="0" w:space="0" w:color="auto"/>
        <w:left w:val="none" w:sz="0" w:space="0" w:color="auto"/>
        <w:bottom w:val="none" w:sz="0" w:space="0" w:color="auto"/>
        <w:right w:val="none" w:sz="0" w:space="0" w:color="auto"/>
      </w:divBdr>
    </w:div>
    <w:div w:id="506602011">
      <w:bodyDiv w:val="1"/>
      <w:marLeft w:val="0"/>
      <w:marRight w:val="0"/>
      <w:marTop w:val="0"/>
      <w:marBottom w:val="0"/>
      <w:divBdr>
        <w:top w:val="none" w:sz="0" w:space="0" w:color="auto"/>
        <w:left w:val="none" w:sz="0" w:space="0" w:color="auto"/>
        <w:bottom w:val="none" w:sz="0" w:space="0" w:color="auto"/>
        <w:right w:val="none" w:sz="0" w:space="0" w:color="auto"/>
      </w:divBdr>
    </w:div>
    <w:div w:id="748692955">
      <w:bodyDiv w:val="1"/>
      <w:marLeft w:val="0"/>
      <w:marRight w:val="0"/>
      <w:marTop w:val="0"/>
      <w:marBottom w:val="0"/>
      <w:divBdr>
        <w:top w:val="none" w:sz="0" w:space="0" w:color="auto"/>
        <w:left w:val="none" w:sz="0" w:space="0" w:color="auto"/>
        <w:bottom w:val="none" w:sz="0" w:space="0" w:color="auto"/>
        <w:right w:val="none" w:sz="0" w:space="0" w:color="auto"/>
      </w:divBdr>
    </w:div>
    <w:div w:id="1116018571">
      <w:bodyDiv w:val="1"/>
      <w:marLeft w:val="0"/>
      <w:marRight w:val="0"/>
      <w:marTop w:val="0"/>
      <w:marBottom w:val="0"/>
      <w:divBdr>
        <w:top w:val="none" w:sz="0" w:space="0" w:color="auto"/>
        <w:left w:val="none" w:sz="0" w:space="0" w:color="auto"/>
        <w:bottom w:val="none" w:sz="0" w:space="0" w:color="auto"/>
        <w:right w:val="none" w:sz="0" w:space="0" w:color="auto"/>
      </w:divBdr>
    </w:div>
    <w:div w:id="1731616345">
      <w:bodyDiv w:val="1"/>
      <w:marLeft w:val="0"/>
      <w:marRight w:val="0"/>
      <w:marTop w:val="0"/>
      <w:marBottom w:val="0"/>
      <w:divBdr>
        <w:top w:val="none" w:sz="0" w:space="0" w:color="auto"/>
        <w:left w:val="none" w:sz="0" w:space="0" w:color="auto"/>
        <w:bottom w:val="none" w:sz="0" w:space="0" w:color="auto"/>
        <w:right w:val="none" w:sz="0" w:space="0" w:color="auto"/>
      </w:divBdr>
    </w:div>
    <w:div w:id="2001150778">
      <w:bodyDiv w:val="1"/>
      <w:marLeft w:val="0"/>
      <w:marRight w:val="0"/>
      <w:marTop w:val="0"/>
      <w:marBottom w:val="0"/>
      <w:divBdr>
        <w:top w:val="none" w:sz="0" w:space="0" w:color="auto"/>
        <w:left w:val="none" w:sz="0" w:space="0" w:color="auto"/>
        <w:bottom w:val="none" w:sz="0" w:space="0" w:color="auto"/>
        <w:right w:val="none" w:sz="0" w:space="0" w:color="auto"/>
      </w:divBdr>
    </w:div>
    <w:div w:id="20957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erubini@vrelations.it"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8C18C-6291-4B6C-B9D1-66C54C0A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480</Words>
  <Characters>2737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Longhi</dc:creator>
  <cp:lastModifiedBy>Chiara Longhi</cp:lastModifiedBy>
  <cp:revision>20</cp:revision>
  <dcterms:created xsi:type="dcterms:W3CDTF">2015-05-04T09:10:00Z</dcterms:created>
  <dcterms:modified xsi:type="dcterms:W3CDTF">2016-01-08T10:09:00Z</dcterms:modified>
</cp:coreProperties>
</file>