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5BE" w:rsidRPr="007D75BE" w:rsidRDefault="007D75BE" w:rsidP="007D75BE">
      <w:pPr>
        <w:pStyle w:val="PreformattatoHTML"/>
        <w:jc w:val="center"/>
        <w:rPr>
          <w:rFonts w:ascii="Arial" w:hAnsi="Arial" w:cs="Arial"/>
          <w:i/>
          <w:sz w:val="22"/>
          <w:szCs w:val="22"/>
          <w:u w:val="single"/>
        </w:rPr>
      </w:pPr>
      <w:r w:rsidRPr="007D75BE">
        <w:rPr>
          <w:rFonts w:ascii="Arial" w:hAnsi="Arial" w:cs="Arial"/>
          <w:i/>
          <w:sz w:val="22"/>
          <w:szCs w:val="22"/>
          <w:u w:val="single"/>
        </w:rPr>
        <w:t>Comunicato stampa</w:t>
      </w:r>
    </w:p>
    <w:p w:rsidR="007D75BE" w:rsidRDefault="007D75BE" w:rsidP="007D75BE">
      <w:pPr>
        <w:pStyle w:val="PreformattatoHTML"/>
        <w:jc w:val="center"/>
        <w:rPr>
          <w:rFonts w:ascii="Arial" w:hAnsi="Arial" w:cs="Arial"/>
          <w:b/>
          <w:sz w:val="36"/>
          <w:szCs w:val="36"/>
        </w:rPr>
      </w:pPr>
    </w:p>
    <w:p w:rsidR="00B44251" w:rsidRPr="00B44251" w:rsidRDefault="00B44251" w:rsidP="00B44251">
      <w:pPr>
        <w:pStyle w:val="PreformattatoHTML"/>
        <w:jc w:val="center"/>
        <w:rPr>
          <w:rFonts w:ascii="Arial" w:hAnsi="Arial" w:cs="Arial"/>
          <w:b/>
          <w:sz w:val="32"/>
          <w:szCs w:val="32"/>
        </w:rPr>
      </w:pPr>
    </w:p>
    <w:p w:rsidR="00CE3ED7" w:rsidRPr="00CE3ED7" w:rsidRDefault="00CE3ED7" w:rsidP="00CE3ED7">
      <w:pPr>
        <w:pStyle w:val="PreformattatoHTML"/>
        <w:jc w:val="center"/>
        <w:rPr>
          <w:rFonts w:ascii="Arial" w:hAnsi="Arial" w:cs="Arial"/>
          <w:b/>
          <w:sz w:val="32"/>
          <w:szCs w:val="32"/>
        </w:rPr>
      </w:pPr>
      <w:r w:rsidRPr="00CE3ED7">
        <w:rPr>
          <w:rFonts w:ascii="Arial" w:hAnsi="Arial" w:cs="Arial"/>
          <w:b/>
          <w:sz w:val="32"/>
          <w:szCs w:val="32"/>
        </w:rPr>
        <w:t>Da un’analisi indipendente la conferma</w:t>
      </w:r>
      <w:r>
        <w:rPr>
          <w:rFonts w:ascii="Arial" w:hAnsi="Arial" w:cs="Arial"/>
          <w:b/>
          <w:sz w:val="32"/>
          <w:szCs w:val="32"/>
        </w:rPr>
        <w:br/>
      </w:r>
      <w:r w:rsidRPr="00CE3ED7">
        <w:rPr>
          <w:rFonts w:ascii="Arial" w:hAnsi="Arial" w:cs="Arial"/>
          <w:b/>
          <w:sz w:val="32"/>
          <w:szCs w:val="32"/>
        </w:rPr>
        <w:t xml:space="preserve"> dell’importanza del biosimilare</w:t>
      </w:r>
    </w:p>
    <w:p w:rsidR="001E7227" w:rsidRDefault="001E7227" w:rsidP="00B44251">
      <w:pPr>
        <w:pStyle w:val="PreformattatoHTML"/>
        <w:jc w:val="center"/>
        <w:rPr>
          <w:rFonts w:ascii="Arial" w:hAnsi="Arial" w:cs="Arial"/>
          <w:b/>
          <w:sz w:val="22"/>
          <w:szCs w:val="22"/>
        </w:rPr>
      </w:pPr>
      <w:r w:rsidRPr="001E7227">
        <w:rPr>
          <w:rFonts w:ascii="Arial" w:hAnsi="Arial" w:cs="Arial"/>
          <w:b/>
          <w:sz w:val="32"/>
          <w:szCs w:val="32"/>
        </w:rPr>
        <w:t xml:space="preserve"> </w:t>
      </w:r>
    </w:p>
    <w:p w:rsidR="00EF5D1F" w:rsidRDefault="00EF5D1F" w:rsidP="00740B1D">
      <w:pPr>
        <w:pStyle w:val="PreformattatoHTML"/>
        <w:jc w:val="both"/>
        <w:rPr>
          <w:rFonts w:ascii="Arial" w:hAnsi="Arial" w:cs="Arial"/>
          <w:b/>
          <w:sz w:val="22"/>
          <w:szCs w:val="22"/>
        </w:rPr>
      </w:pPr>
    </w:p>
    <w:p w:rsidR="00134970" w:rsidRDefault="007D75BE" w:rsidP="00CE3ED7">
      <w:pPr>
        <w:spacing w:before="240" w:after="240"/>
        <w:jc w:val="both"/>
        <w:rPr>
          <w:rFonts w:ascii="Arial" w:hAnsi="Arial" w:cs="Arial"/>
          <w:color w:val="000000"/>
          <w:sz w:val="22"/>
          <w:szCs w:val="22"/>
        </w:rPr>
      </w:pPr>
      <w:r w:rsidRPr="007D75BE">
        <w:rPr>
          <w:rFonts w:ascii="Arial" w:hAnsi="Arial" w:cs="Arial"/>
          <w:b/>
          <w:sz w:val="22"/>
          <w:szCs w:val="22"/>
        </w:rPr>
        <w:t>Roma</w:t>
      </w:r>
      <w:r w:rsidR="00F450EA">
        <w:rPr>
          <w:rFonts w:ascii="Arial" w:hAnsi="Arial" w:cs="Arial"/>
          <w:b/>
          <w:sz w:val="22"/>
          <w:szCs w:val="22"/>
        </w:rPr>
        <w:t>,</w:t>
      </w:r>
      <w:r w:rsidR="00647A31">
        <w:rPr>
          <w:rFonts w:ascii="Arial" w:hAnsi="Arial" w:cs="Arial"/>
          <w:b/>
          <w:sz w:val="22"/>
          <w:szCs w:val="22"/>
        </w:rPr>
        <w:t xml:space="preserve"> </w:t>
      </w:r>
      <w:r w:rsidR="00CE3ED7">
        <w:rPr>
          <w:rFonts w:ascii="Arial" w:hAnsi="Arial" w:cs="Arial"/>
          <w:b/>
          <w:sz w:val="22"/>
          <w:szCs w:val="22"/>
        </w:rPr>
        <w:t>18 dicembre</w:t>
      </w:r>
      <w:r w:rsidR="00647A31">
        <w:rPr>
          <w:rFonts w:ascii="Arial" w:hAnsi="Arial" w:cs="Arial"/>
          <w:b/>
          <w:sz w:val="22"/>
          <w:szCs w:val="22"/>
        </w:rPr>
        <w:t xml:space="preserve"> </w:t>
      </w:r>
      <w:r w:rsidR="00DF648B">
        <w:rPr>
          <w:rFonts w:ascii="Arial" w:hAnsi="Arial" w:cs="Arial"/>
          <w:b/>
          <w:sz w:val="22"/>
          <w:szCs w:val="22"/>
        </w:rPr>
        <w:t>2015</w:t>
      </w:r>
      <w:r w:rsidRPr="007D75BE">
        <w:rPr>
          <w:rFonts w:ascii="Arial" w:hAnsi="Arial" w:cs="Arial"/>
          <w:b/>
          <w:sz w:val="22"/>
          <w:szCs w:val="22"/>
        </w:rPr>
        <w:t xml:space="preserve"> -</w:t>
      </w:r>
      <w:r>
        <w:t xml:space="preserve"> </w:t>
      </w:r>
      <w:r w:rsidR="00CE3ED7" w:rsidRPr="00CE3ED7">
        <w:rPr>
          <w:rFonts w:ascii="Arial" w:hAnsi="Arial" w:cs="Arial"/>
          <w:color w:val="000000"/>
          <w:sz w:val="22"/>
          <w:szCs w:val="22"/>
        </w:rPr>
        <w:t xml:space="preserve">“Abbiamo sempre sostenuto che l’ingresso dei biosimilari sul mercato, ma soprattutto nella pratica clinica, era in grado di determinare importanti miglioramenti nell’assistenza farmaceutica resa ai cittadini europei e dunque italiani” dice </w:t>
      </w:r>
      <w:r w:rsidR="00CE3ED7" w:rsidRPr="00CE3ED7">
        <w:rPr>
          <w:rFonts w:ascii="Arial" w:hAnsi="Arial" w:cs="Arial"/>
          <w:b/>
          <w:color w:val="000000"/>
          <w:sz w:val="22"/>
          <w:szCs w:val="22"/>
        </w:rPr>
        <w:t>Stefano Collatina, coordinatore dell’Italian Biosimilar Group</w:t>
      </w:r>
      <w:r w:rsidR="00CE3ED7" w:rsidRPr="00CE3ED7">
        <w:rPr>
          <w:rFonts w:ascii="Arial" w:hAnsi="Arial" w:cs="Arial"/>
          <w:color w:val="000000"/>
          <w:sz w:val="22"/>
          <w:szCs w:val="22"/>
        </w:rPr>
        <w:t>. “Il rapporto che IMS ha elaborato per conto della Commissione europea fornisce ora una conferma scientifica del ruolo svolto da questi nuovi farmaci”. Infatti, le analisi svolte da IMS evidenziano che l’inserimento dei biosimilari nei protocolli di trattamento ha determinato in primo luogo un allargamento del numero dei pazienti che possono essere avviati a trattamenti allo stato dell’arte e soprattutto nei paesi in cui l’accesso alle terapie biotecnologiche era più limitato. Il rapporto osserva anche una riduzione del prezzo dei farmaci biotecnologici, anche se ovviamente in misura minore rispetto a quanto avviene con i farmaci equivalenti. “E’ un dato atteso, dal momento che realizzare un biosimilare comporta il ricorso a tecnologie estremamente sofisticate” spiega Collatina “e un costo della sperimentazione sovrapponibile a quello dei nuovi medicinali coperti da brevetto. C’è anche un altro aspetto che va sottolineat</w:t>
      </w:r>
      <w:r w:rsidR="00CE3ED7">
        <w:rPr>
          <w:rFonts w:ascii="Arial" w:hAnsi="Arial" w:cs="Arial"/>
          <w:color w:val="000000"/>
          <w:sz w:val="22"/>
          <w:szCs w:val="22"/>
        </w:rPr>
        <w:t>o, e cioè che il settore dei </w:t>
      </w:r>
      <w:r w:rsidR="00CE3ED7" w:rsidRPr="00CE3ED7">
        <w:rPr>
          <w:rFonts w:ascii="Arial" w:hAnsi="Arial" w:cs="Arial"/>
          <w:color w:val="000000"/>
          <w:sz w:val="22"/>
          <w:szCs w:val="22"/>
        </w:rPr>
        <w:t xml:space="preserve">biosimilari si sta espandendo ma non a detrimento della comparsa di nuovi farmaci biotecnologici”. </w:t>
      </w:r>
    </w:p>
    <w:p w:rsidR="00CE3ED7" w:rsidRPr="00CE3ED7" w:rsidRDefault="00CE3ED7" w:rsidP="00CE3ED7">
      <w:pPr>
        <w:spacing w:before="240" w:after="240"/>
        <w:jc w:val="both"/>
        <w:rPr>
          <w:rFonts w:ascii="Arial" w:hAnsi="Arial" w:cs="Arial"/>
          <w:color w:val="000000"/>
          <w:sz w:val="22"/>
          <w:szCs w:val="22"/>
        </w:rPr>
      </w:pPr>
      <w:bookmarkStart w:id="0" w:name="_GoBack"/>
      <w:bookmarkEnd w:id="0"/>
      <w:r w:rsidRPr="00CE3ED7">
        <w:rPr>
          <w:rFonts w:ascii="Arial" w:hAnsi="Arial" w:cs="Arial"/>
          <w:color w:val="000000"/>
          <w:sz w:val="22"/>
          <w:szCs w:val="22"/>
        </w:rPr>
        <w:t>Per il coordinatore dell’IBG c’è stata però anche la conferma di una grande disparità nel ricorso ai biosimilari tra i diversi paesi dell’UE e tra un’area terapeutica e l’altra. “Sfortunatamente l’Italia non è ancora nel gruppo di testa e questo deve suonare come un campanello d’allarme. Ora più che mai siamo alle prese non solo con la sostenibilità della spesa sanitaria, ma con difficoltà nel garantire l’accesso alle cure più aggiornate” conclude Collatina “promuovere il ruolo dei biosimilari significa operare concretamente per risolvere questi problemi e anche per aiutare l’economia del nostro paese”.</w:t>
      </w:r>
    </w:p>
    <w:p w:rsidR="00052C4E" w:rsidRDefault="00052C4E" w:rsidP="00CE3ED7">
      <w:pPr>
        <w:spacing w:before="120" w:after="120"/>
        <w:jc w:val="both"/>
        <w:rPr>
          <w:rFonts w:ascii="Arial" w:hAnsi="Arial" w:cs="Arial"/>
          <w:color w:val="000000"/>
          <w:sz w:val="22"/>
          <w:szCs w:val="22"/>
        </w:rPr>
      </w:pPr>
    </w:p>
    <w:p w:rsidR="00052C4E" w:rsidRPr="007D75BE" w:rsidRDefault="00052C4E" w:rsidP="00052C4E">
      <w:pPr>
        <w:spacing w:before="120" w:after="120"/>
        <w:jc w:val="both"/>
        <w:rPr>
          <w:rFonts w:eastAsia="Times New Roman"/>
        </w:rPr>
      </w:pPr>
    </w:p>
    <w:p w:rsidR="00E62E94" w:rsidRDefault="00E62E94" w:rsidP="007D75BE">
      <w:pPr>
        <w:rPr>
          <w:rFonts w:ascii="Arial" w:eastAsia="Calibri" w:hAnsi="Arial" w:cs="Arial"/>
          <w:b/>
          <w:sz w:val="22"/>
          <w:szCs w:val="22"/>
        </w:rPr>
      </w:pPr>
    </w:p>
    <w:p w:rsidR="007D75BE" w:rsidRPr="007D75BE" w:rsidRDefault="007D75BE" w:rsidP="007D75BE">
      <w:pPr>
        <w:rPr>
          <w:rFonts w:ascii="Arial" w:eastAsia="Calibri" w:hAnsi="Arial" w:cs="Arial"/>
          <w:b/>
          <w:sz w:val="22"/>
          <w:szCs w:val="22"/>
        </w:rPr>
      </w:pPr>
      <w:r w:rsidRPr="007D75BE">
        <w:rPr>
          <w:rFonts w:ascii="Arial" w:eastAsia="Calibri" w:hAnsi="Arial" w:cs="Arial"/>
          <w:b/>
          <w:sz w:val="22"/>
          <w:szCs w:val="22"/>
        </w:rPr>
        <w:t>Per ulteriori informazioni:</w:t>
      </w:r>
    </w:p>
    <w:p w:rsidR="00522C06" w:rsidRDefault="000743E2">
      <w:pPr>
        <w:rPr>
          <w:rFonts w:ascii="Arial" w:eastAsia="Calibri" w:hAnsi="Arial" w:cs="Arial"/>
          <w:sz w:val="22"/>
          <w:szCs w:val="22"/>
        </w:rPr>
      </w:pPr>
      <w:r>
        <w:rPr>
          <w:noProof/>
        </w:rPr>
        <w:drawing>
          <wp:inline distT="0" distB="0" distL="0" distR="0" wp14:anchorId="4CC55189" wp14:editId="4F9A4EDE">
            <wp:extent cx="1381125" cy="438150"/>
            <wp:effectExtent l="0" t="0" r="9525" b="0"/>
            <wp:docPr id="1" name="Immagine 11" descr="Firma10.JPG"/>
            <wp:cNvGraphicFramePr/>
            <a:graphic xmlns:a="http://schemas.openxmlformats.org/drawingml/2006/main">
              <a:graphicData uri="http://schemas.openxmlformats.org/drawingml/2006/picture">
                <pic:pic xmlns:pic="http://schemas.openxmlformats.org/drawingml/2006/picture">
                  <pic:nvPicPr>
                    <pic:cNvPr id="1" name="Immagine 11" descr="Firma10.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438150"/>
                    </a:xfrm>
                    <a:prstGeom prst="rect">
                      <a:avLst/>
                    </a:prstGeom>
                    <a:noFill/>
                    <a:ln>
                      <a:noFill/>
                    </a:ln>
                  </pic:spPr>
                </pic:pic>
              </a:graphicData>
            </a:graphic>
          </wp:inline>
        </w:drawing>
      </w:r>
      <w:r w:rsidR="007D75BE" w:rsidRPr="007D75BE">
        <w:rPr>
          <w:rFonts w:ascii="Arial" w:eastAsia="Calibri" w:hAnsi="Arial" w:cs="Arial"/>
          <w:sz w:val="22"/>
          <w:szCs w:val="22"/>
        </w:rPr>
        <w:br/>
        <w:t>Ufficio Stampa AssoGenerici</w:t>
      </w:r>
      <w:r w:rsidR="007D75BE" w:rsidRPr="007D75BE">
        <w:rPr>
          <w:rFonts w:ascii="Arial" w:eastAsia="Calibri" w:hAnsi="Arial" w:cs="Arial"/>
          <w:sz w:val="22"/>
          <w:szCs w:val="22"/>
        </w:rPr>
        <w:br/>
        <w:t>tel. 02/2042491</w:t>
      </w:r>
    </w:p>
    <w:p w:rsidR="00900BD6" w:rsidRDefault="007D75BE">
      <w:r w:rsidRPr="007D75BE">
        <w:rPr>
          <w:rFonts w:ascii="Arial" w:eastAsia="Calibri" w:hAnsi="Arial" w:cs="Arial"/>
          <w:sz w:val="22"/>
          <w:szCs w:val="22"/>
        </w:rPr>
        <w:t>Massimo Cher</w:t>
      </w:r>
      <w:r w:rsidR="00441586">
        <w:rPr>
          <w:rFonts w:ascii="Arial" w:eastAsia="Calibri" w:hAnsi="Arial" w:cs="Arial"/>
          <w:sz w:val="22"/>
          <w:szCs w:val="22"/>
        </w:rPr>
        <w:t>ubini - cellulare 335/8231</w:t>
      </w:r>
      <w:r w:rsidRPr="007D75BE">
        <w:rPr>
          <w:rFonts w:ascii="Arial" w:eastAsia="Calibri" w:hAnsi="Arial" w:cs="Arial"/>
          <w:sz w:val="22"/>
          <w:szCs w:val="22"/>
        </w:rPr>
        <w:t>700</w:t>
      </w:r>
      <w:r w:rsidRPr="007D75BE">
        <w:rPr>
          <w:rFonts w:ascii="Arial" w:eastAsia="Calibri" w:hAnsi="Arial" w:cs="Arial"/>
          <w:sz w:val="22"/>
          <w:szCs w:val="22"/>
        </w:rPr>
        <w:br/>
        <w:t xml:space="preserve">e-mail: </w:t>
      </w:r>
      <w:hyperlink r:id="rId8" w:history="1">
        <w:r w:rsidRPr="007D75BE">
          <w:rPr>
            <w:rFonts w:ascii="Arial" w:eastAsia="Calibri" w:hAnsi="Arial" w:cs="Arial"/>
            <w:color w:val="0000FF"/>
            <w:sz w:val="22"/>
            <w:szCs w:val="22"/>
            <w:u w:val="single"/>
          </w:rPr>
          <w:t>m.cherubini@vrelations.it</w:t>
        </w:r>
      </w:hyperlink>
    </w:p>
    <w:sectPr w:rsidR="00900BD6" w:rsidSect="00067F79">
      <w:headerReference w:type="default" r:id="rId9"/>
      <w:footerReference w:type="default" r:id="rId10"/>
      <w:pgSz w:w="11906" w:h="16838"/>
      <w:pgMar w:top="3373"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CD9" w:rsidRDefault="00C64CD9" w:rsidP="007D75BE">
      <w:r>
        <w:separator/>
      </w:r>
    </w:p>
  </w:endnote>
  <w:endnote w:type="continuationSeparator" w:id="0">
    <w:p w:rsidR="00C64CD9" w:rsidRDefault="00C64CD9" w:rsidP="007D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timum">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79" w:rsidRPr="00067F79" w:rsidRDefault="00067F79" w:rsidP="00067F79">
    <w:pPr>
      <w:tabs>
        <w:tab w:val="center" w:pos="4819"/>
        <w:tab w:val="right" w:pos="9638"/>
      </w:tabs>
      <w:jc w:val="center"/>
      <w:rPr>
        <w:rFonts w:ascii="Optimum" w:eastAsia="Times New Roman" w:hAnsi="Optimum"/>
        <w:color w:val="003366"/>
        <w:sz w:val="18"/>
      </w:rPr>
    </w:pPr>
    <w:r>
      <w:rPr>
        <w:rFonts w:ascii="Optimum" w:eastAsia="Times New Roman" w:hAnsi="Optimum"/>
        <w:color w:val="003366"/>
        <w:sz w:val="18"/>
      </w:rPr>
      <w:t>I</w:t>
    </w:r>
    <w:r w:rsidRPr="00067F79">
      <w:rPr>
        <w:rFonts w:ascii="Optimum" w:eastAsia="Times New Roman" w:hAnsi="Optimum"/>
        <w:color w:val="003366"/>
        <w:sz w:val="18"/>
      </w:rPr>
      <w:t xml:space="preserve">BG - Passeggiata di Ripetta, 22 · </w:t>
    </w:r>
    <w:proofErr w:type="spellStart"/>
    <w:r w:rsidRPr="00067F79">
      <w:rPr>
        <w:rFonts w:ascii="Optimum" w:eastAsia="Times New Roman" w:hAnsi="Optimum"/>
        <w:color w:val="003366"/>
        <w:sz w:val="18"/>
      </w:rPr>
      <w:t>int</w:t>
    </w:r>
    <w:proofErr w:type="spellEnd"/>
    <w:r w:rsidRPr="00067F79">
      <w:rPr>
        <w:rFonts w:ascii="Optimum" w:eastAsia="Times New Roman" w:hAnsi="Optimum"/>
        <w:color w:val="003366"/>
        <w:sz w:val="18"/>
      </w:rPr>
      <w:t>. 1 · 00186 Roma · T: +39 06 5960 5324 · F: +39 06 5431 323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CD9" w:rsidRDefault="00C64CD9" w:rsidP="007D75BE">
      <w:r>
        <w:separator/>
      </w:r>
    </w:p>
  </w:footnote>
  <w:footnote w:type="continuationSeparator" w:id="0">
    <w:p w:rsidR="00C64CD9" w:rsidRDefault="00C64CD9" w:rsidP="007D7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79" w:rsidRDefault="0038190F">
    <w:pPr>
      <w:pStyle w:val="Intestazione"/>
    </w:pPr>
    <w:r>
      <w:rPr>
        <w:noProof/>
      </w:rPr>
      <mc:AlternateContent>
        <mc:Choice Requires="wps">
          <w:drawing>
            <wp:anchor distT="0" distB="0" distL="114300" distR="114300" simplePos="0" relativeHeight="251661312" behindDoc="0" locked="0" layoutInCell="1" allowOverlap="1" wp14:anchorId="4225A848" wp14:editId="39B5BAFB">
              <wp:simplePos x="0" y="0"/>
              <wp:positionH relativeFrom="column">
                <wp:posOffset>-118110</wp:posOffset>
              </wp:positionH>
              <wp:positionV relativeFrom="paragraph">
                <wp:posOffset>1219200</wp:posOffset>
              </wp:positionV>
              <wp:extent cx="6537960" cy="90805"/>
              <wp:effectExtent l="19050" t="0" r="129540" b="23495"/>
              <wp:wrapNone/>
              <wp:docPr id="14" name="Elaborazion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90805"/>
                      </a:xfrm>
                      <a:prstGeom prst="flowChartProcess">
                        <a:avLst/>
                      </a:prstGeom>
                      <a:gradFill rotWithShape="0">
                        <a:gsLst>
                          <a:gs pos="0">
                            <a:srgbClr val="4BACC6">
                              <a:gamma/>
                              <a:tint val="20000"/>
                              <a:invGamma/>
                            </a:srgbClr>
                          </a:gs>
                          <a:gs pos="100000">
                            <a:srgbClr val="4BACC6"/>
                          </a:gs>
                        </a:gsLst>
                        <a:lin ang="2700000" scaled="1"/>
                      </a:gradFill>
                      <a:ln w="12700">
                        <a:solidFill>
                          <a:srgbClr val="F2F2F2"/>
                        </a:solidFill>
                        <a:miter lim="800000"/>
                        <a:headEnd/>
                        <a:tailEnd/>
                      </a:ln>
                      <a:effectLst>
                        <a:outerShdw sy="50000" kx="-2453608" rotWithShape="0">
                          <a:srgbClr val="B6DDE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9B1A0" id="_x0000_t109" coordsize="21600,21600" o:spt="109" path="m,l,21600r21600,l21600,xe">
              <v:stroke joinstyle="miter"/>
              <v:path gradientshapeok="t" o:connecttype="rect"/>
            </v:shapetype>
            <v:shape id="Elaborazione 14" o:spid="_x0000_s1026" type="#_x0000_t109" style="position:absolute;margin-left:-9.3pt;margin-top:96pt;width:514.8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" fillcolor="#dbeef4" strokecolor="#f2f2f2" strokeweight="1pt">
              <v:fill color2="#4bacc6" angle="45" focus="100%" type="gradient"/>
              <v:shadow on="t" type="perspective" color="#b6dde8" opacity=".5" origin=",.5" offset="0,0" matrix=",-56756f,,.5"/>
            </v:shape>
          </w:pict>
        </mc:Fallback>
      </mc:AlternateContent>
    </w:r>
    <w:r w:rsidR="00F82690">
      <w:rPr>
        <w:noProof/>
      </w:rPr>
      <w:drawing>
        <wp:anchor distT="0" distB="0" distL="114300" distR="114300" simplePos="0" relativeHeight="251660288" behindDoc="0" locked="0" layoutInCell="1" allowOverlap="1" wp14:anchorId="1A0245A1" wp14:editId="6435F7B2">
          <wp:simplePos x="0" y="0"/>
          <wp:positionH relativeFrom="margin">
            <wp:align>center</wp:align>
          </wp:positionH>
          <wp:positionV relativeFrom="margin">
            <wp:posOffset>-1802130</wp:posOffset>
          </wp:positionV>
          <wp:extent cx="1604010" cy="1143000"/>
          <wp:effectExtent l="0" t="0" r="0" b="0"/>
          <wp:wrapSquare wrapText="bothSides"/>
          <wp:docPr id="50" name="Immagine 50" descr="Logo-IBG_n-6-fi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IBG_n-6-finale"/>
                  <pic:cNvPicPr>
                    <a:picLocks noChangeAspect="1" noChangeArrowheads="1"/>
                  </pic:cNvPicPr>
                </pic:nvPicPr>
                <pic:blipFill>
                  <a:blip r:embed="rId1">
                    <a:extLst>
                      <a:ext uri="{28A0092B-C50C-407E-A947-70E740481C1C}">
                        <a14:useLocalDpi xmlns:a14="http://schemas.microsoft.com/office/drawing/2010/main" val="0"/>
                      </a:ext>
                    </a:extLst>
                  </a:blip>
                  <a:srcRect l="14722" t="32713" r="14722" b="19148"/>
                  <a:stretch>
                    <a:fillRect/>
                  </a:stretch>
                </pic:blipFill>
                <pic:spPr bwMode="auto">
                  <a:xfrm>
                    <a:off x="0" y="0"/>
                    <a:ext cx="160401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BE"/>
    <w:rsid w:val="00052C4E"/>
    <w:rsid w:val="000605C9"/>
    <w:rsid w:val="00067F79"/>
    <w:rsid w:val="000743E2"/>
    <w:rsid w:val="000A4D5C"/>
    <w:rsid w:val="00134970"/>
    <w:rsid w:val="00191BE1"/>
    <w:rsid w:val="001E7227"/>
    <w:rsid w:val="001F6984"/>
    <w:rsid w:val="00327A56"/>
    <w:rsid w:val="0038190F"/>
    <w:rsid w:val="00441586"/>
    <w:rsid w:val="004708F0"/>
    <w:rsid w:val="005120AC"/>
    <w:rsid w:val="00522C06"/>
    <w:rsid w:val="00535D47"/>
    <w:rsid w:val="005A443C"/>
    <w:rsid w:val="00647A31"/>
    <w:rsid w:val="006A3125"/>
    <w:rsid w:val="006B5DB4"/>
    <w:rsid w:val="0071447B"/>
    <w:rsid w:val="00740B1D"/>
    <w:rsid w:val="00747C87"/>
    <w:rsid w:val="0075479F"/>
    <w:rsid w:val="007D75BE"/>
    <w:rsid w:val="007F420D"/>
    <w:rsid w:val="00800C25"/>
    <w:rsid w:val="0089014E"/>
    <w:rsid w:val="00900BD6"/>
    <w:rsid w:val="009737D0"/>
    <w:rsid w:val="00983DE1"/>
    <w:rsid w:val="009D6A6E"/>
    <w:rsid w:val="00AD072E"/>
    <w:rsid w:val="00AE3014"/>
    <w:rsid w:val="00B11405"/>
    <w:rsid w:val="00B166DE"/>
    <w:rsid w:val="00B44251"/>
    <w:rsid w:val="00BF57E0"/>
    <w:rsid w:val="00C64CD9"/>
    <w:rsid w:val="00CE3ED7"/>
    <w:rsid w:val="00DF4CE1"/>
    <w:rsid w:val="00DF648B"/>
    <w:rsid w:val="00E03212"/>
    <w:rsid w:val="00E62E94"/>
    <w:rsid w:val="00EF5D1F"/>
    <w:rsid w:val="00F450EA"/>
    <w:rsid w:val="00F62FA8"/>
    <w:rsid w:val="00F82690"/>
    <w:rsid w:val="00FA40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3E3F9D0-7294-4C0C-B0DA-C86C3F19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75BE"/>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7D7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7D75BE"/>
    <w:rPr>
      <w:rFonts w:ascii="Courier New" w:hAnsi="Courier New" w:cs="Courier New"/>
      <w:sz w:val="20"/>
      <w:szCs w:val="20"/>
      <w:lang w:eastAsia="it-IT"/>
    </w:rPr>
  </w:style>
  <w:style w:type="paragraph" w:styleId="Intestazione">
    <w:name w:val="header"/>
    <w:basedOn w:val="Normale"/>
    <w:link w:val="IntestazioneCarattere"/>
    <w:uiPriority w:val="99"/>
    <w:unhideWhenUsed/>
    <w:rsid w:val="007D75BE"/>
    <w:pPr>
      <w:tabs>
        <w:tab w:val="center" w:pos="4819"/>
        <w:tab w:val="right" w:pos="9638"/>
      </w:tabs>
    </w:pPr>
  </w:style>
  <w:style w:type="character" w:customStyle="1" w:styleId="IntestazioneCarattere">
    <w:name w:val="Intestazione Carattere"/>
    <w:basedOn w:val="Carpredefinitoparagrafo"/>
    <w:link w:val="Intestazione"/>
    <w:uiPriority w:val="99"/>
    <w:rsid w:val="007D75BE"/>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7D75BE"/>
    <w:pPr>
      <w:tabs>
        <w:tab w:val="center" w:pos="4819"/>
        <w:tab w:val="right" w:pos="9638"/>
      </w:tabs>
    </w:pPr>
  </w:style>
  <w:style w:type="character" w:customStyle="1" w:styleId="PidipaginaCarattere">
    <w:name w:val="Piè di pagina Carattere"/>
    <w:basedOn w:val="Carpredefinitoparagrafo"/>
    <w:link w:val="Pidipagina"/>
    <w:uiPriority w:val="99"/>
    <w:rsid w:val="007D75BE"/>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EF5D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647116">
      <w:bodyDiv w:val="1"/>
      <w:marLeft w:val="0"/>
      <w:marRight w:val="0"/>
      <w:marTop w:val="0"/>
      <w:marBottom w:val="0"/>
      <w:divBdr>
        <w:top w:val="none" w:sz="0" w:space="0" w:color="auto"/>
        <w:left w:val="none" w:sz="0" w:space="0" w:color="auto"/>
        <w:bottom w:val="none" w:sz="0" w:space="0" w:color="auto"/>
        <w:right w:val="none" w:sz="0" w:space="0" w:color="auto"/>
      </w:divBdr>
    </w:div>
    <w:div w:id="506602011">
      <w:bodyDiv w:val="1"/>
      <w:marLeft w:val="0"/>
      <w:marRight w:val="0"/>
      <w:marTop w:val="0"/>
      <w:marBottom w:val="0"/>
      <w:divBdr>
        <w:top w:val="none" w:sz="0" w:space="0" w:color="auto"/>
        <w:left w:val="none" w:sz="0" w:space="0" w:color="auto"/>
        <w:bottom w:val="none" w:sz="0" w:space="0" w:color="auto"/>
        <w:right w:val="none" w:sz="0" w:space="0" w:color="auto"/>
      </w:divBdr>
    </w:div>
    <w:div w:id="1048334447">
      <w:bodyDiv w:val="1"/>
      <w:marLeft w:val="0"/>
      <w:marRight w:val="0"/>
      <w:marTop w:val="0"/>
      <w:marBottom w:val="0"/>
      <w:divBdr>
        <w:top w:val="none" w:sz="0" w:space="0" w:color="auto"/>
        <w:left w:val="none" w:sz="0" w:space="0" w:color="auto"/>
        <w:bottom w:val="none" w:sz="0" w:space="0" w:color="auto"/>
        <w:right w:val="none" w:sz="0" w:space="0" w:color="auto"/>
      </w:divBdr>
    </w:div>
    <w:div w:id="1370838110">
      <w:bodyDiv w:val="1"/>
      <w:marLeft w:val="0"/>
      <w:marRight w:val="0"/>
      <w:marTop w:val="0"/>
      <w:marBottom w:val="0"/>
      <w:divBdr>
        <w:top w:val="none" w:sz="0" w:space="0" w:color="auto"/>
        <w:left w:val="none" w:sz="0" w:space="0" w:color="auto"/>
        <w:bottom w:val="none" w:sz="0" w:space="0" w:color="auto"/>
        <w:right w:val="none" w:sz="0" w:space="0" w:color="auto"/>
      </w:divBdr>
    </w:div>
    <w:div w:id="1731616345">
      <w:bodyDiv w:val="1"/>
      <w:marLeft w:val="0"/>
      <w:marRight w:val="0"/>
      <w:marTop w:val="0"/>
      <w:marBottom w:val="0"/>
      <w:divBdr>
        <w:top w:val="none" w:sz="0" w:space="0" w:color="auto"/>
        <w:left w:val="none" w:sz="0" w:space="0" w:color="auto"/>
        <w:bottom w:val="none" w:sz="0" w:space="0" w:color="auto"/>
        <w:right w:val="none" w:sz="0" w:space="0" w:color="auto"/>
      </w:divBdr>
    </w:div>
    <w:div w:id="20957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erubini@vrelations.it"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D4889-B3FD-452D-8AB7-931FDC68A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342</Words>
  <Characters>1956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Longhi</dc:creator>
  <cp:keywords/>
  <dc:description/>
  <cp:lastModifiedBy>Chiara Longhi</cp:lastModifiedBy>
  <cp:revision>44</cp:revision>
  <dcterms:created xsi:type="dcterms:W3CDTF">2014-12-12T08:10:00Z</dcterms:created>
  <dcterms:modified xsi:type="dcterms:W3CDTF">2015-12-18T14:48:00Z</dcterms:modified>
</cp:coreProperties>
</file>