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1C42A6" w:rsidRPr="001C42A6" w:rsidRDefault="001C42A6" w:rsidP="001C42A6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  <w:r w:rsidRPr="001C42A6">
        <w:rPr>
          <w:rFonts w:ascii="Arial" w:hAnsi="Arial" w:cs="Arial"/>
          <w:b/>
          <w:sz w:val="32"/>
          <w:szCs w:val="32"/>
        </w:rPr>
        <w:t>Dalla Commissione Europea un’occasione unica</w:t>
      </w:r>
    </w:p>
    <w:p w:rsidR="000F16BB" w:rsidRDefault="001C42A6" w:rsidP="001C42A6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C42A6">
        <w:rPr>
          <w:rFonts w:ascii="Arial" w:hAnsi="Arial" w:cs="Arial"/>
          <w:b/>
          <w:sz w:val="32"/>
          <w:szCs w:val="32"/>
        </w:rPr>
        <w:t>per</w:t>
      </w:r>
      <w:proofErr w:type="gramEnd"/>
      <w:r w:rsidRPr="001C42A6">
        <w:rPr>
          <w:rFonts w:ascii="Arial" w:hAnsi="Arial" w:cs="Arial"/>
          <w:b/>
          <w:sz w:val="32"/>
          <w:szCs w:val="32"/>
        </w:rPr>
        <w:t xml:space="preserve"> lo sviluppo della produzione farmaceutica</w:t>
      </w:r>
    </w:p>
    <w:p w:rsidR="00823039" w:rsidRDefault="00823039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0F16BB" w:rsidRPr="000F16BB" w:rsidRDefault="000F16BB" w:rsidP="000F16BB">
      <w:pPr>
        <w:pStyle w:val="PreformattatoHTML"/>
        <w:jc w:val="both"/>
        <w:rPr>
          <w:rFonts w:ascii="Arial" w:hAnsi="Arial" w:cs="Arial"/>
          <w:i/>
          <w:sz w:val="22"/>
          <w:szCs w:val="22"/>
        </w:rPr>
      </w:pPr>
    </w:p>
    <w:p w:rsidR="000F16BB" w:rsidRDefault="000F16BB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823039" w:rsidRDefault="007D75BE" w:rsidP="001C42A6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Pr="007D75BE">
        <w:rPr>
          <w:rFonts w:ascii="Arial" w:hAnsi="Arial" w:cs="Arial"/>
          <w:b/>
          <w:sz w:val="22"/>
          <w:szCs w:val="22"/>
        </w:rPr>
        <w:t xml:space="preserve"> </w:t>
      </w:r>
      <w:r w:rsidR="001C42A6">
        <w:rPr>
          <w:rFonts w:ascii="Arial" w:hAnsi="Arial" w:cs="Arial"/>
          <w:b/>
          <w:sz w:val="22"/>
          <w:szCs w:val="22"/>
        </w:rPr>
        <w:t>28</w:t>
      </w:r>
      <w:r w:rsidR="000F16BB">
        <w:rPr>
          <w:rFonts w:ascii="Arial" w:hAnsi="Arial" w:cs="Arial"/>
          <w:b/>
          <w:sz w:val="22"/>
          <w:szCs w:val="22"/>
        </w:rPr>
        <w:t xml:space="preserve"> ottobre </w:t>
      </w:r>
      <w:r w:rsidR="00DF648B">
        <w:rPr>
          <w:rFonts w:ascii="Arial" w:hAnsi="Arial" w:cs="Arial"/>
          <w:b/>
          <w:sz w:val="22"/>
          <w:szCs w:val="22"/>
        </w:rPr>
        <w:t>2015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 xml:space="preserve">La Commissione Europea ha pubblicato oggi il documento ‘A Single Market </w:t>
      </w:r>
      <w:proofErr w:type="spellStart"/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>Strategy</w:t>
      </w:r>
      <w:proofErr w:type="spellEnd"/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 xml:space="preserve"> for Europe - Analysis and Evidence’, che comprende la proposta di concedere a tutta l'industria farmaceutica europea di farmaci generici la possibilità di produrre medicinali ancora protetti dal certificato di protezione complementare purché destinati all’esportazione in paesi in cui il brevetto non esiste o è già scaduto o per lo stoccaggio su scala industriale destinato all'immissione in commercio alla scadenza del brevetto. A oggi le case europee, a cominciare da quelle italiane che vogliono sviluppare l'export, sono costrette ad affidare la produzione a impianti collocati fuori dall’UE, con le conseguenze immaginabili sul piano occupazionale e sul PIL dei paesi dell’Unione. “Implementare la strategia della Commissione Europea è una misura che potrebbe rilanciare la domanda, aumentare l’occupazione qualificata e rendere sostenibile nel tempo la produzione farmaceutica di tutta Europa, e che non richiede né sovvenzioni né sconti fiscali” dice </w:t>
      </w:r>
      <w:r w:rsidR="001C42A6" w:rsidRPr="001C42A6">
        <w:rPr>
          <w:rFonts w:ascii="Arial" w:eastAsiaTheme="minorHAnsi" w:hAnsi="Arial" w:cs="Arial"/>
          <w:b/>
          <w:color w:val="auto"/>
          <w:sz w:val="22"/>
          <w:szCs w:val="22"/>
        </w:rPr>
        <w:t xml:space="preserve">Enrique </w:t>
      </w:r>
      <w:proofErr w:type="spellStart"/>
      <w:r w:rsidR="001C42A6" w:rsidRPr="001C42A6">
        <w:rPr>
          <w:rFonts w:ascii="Arial" w:eastAsiaTheme="minorHAnsi" w:hAnsi="Arial" w:cs="Arial"/>
          <w:b/>
          <w:color w:val="auto"/>
          <w:sz w:val="22"/>
          <w:szCs w:val="22"/>
        </w:rPr>
        <w:t>Häusermann</w:t>
      </w:r>
      <w:proofErr w:type="spellEnd"/>
      <w:r w:rsidR="001C42A6" w:rsidRPr="001C42A6">
        <w:rPr>
          <w:rFonts w:ascii="Arial" w:eastAsiaTheme="minorHAnsi" w:hAnsi="Arial" w:cs="Arial"/>
          <w:b/>
          <w:color w:val="auto"/>
          <w:sz w:val="22"/>
          <w:szCs w:val="22"/>
        </w:rPr>
        <w:t>, presidente di AssoGenerici</w:t>
      </w:r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 xml:space="preserve">. “Mi sembra necessario che l’Italia usi il suo peso all’interno dell’Unione Europea perché questo nuovo schema venga adottato, non soltanto limitatamente a questo aspetto, ma anche per tutta la tematica dei brevetti. Riuscire ad avere una regolazione a livello sovranazionale darebbe certezze a tutto il comparto del farmaco”. Per </w:t>
      </w:r>
      <w:bookmarkStart w:id="0" w:name="_GoBack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 xml:space="preserve">Adrian van </w:t>
      </w:r>
      <w:proofErr w:type="spellStart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>den</w:t>
      </w:r>
      <w:proofErr w:type="spellEnd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 xml:space="preserve"> </w:t>
      </w:r>
      <w:proofErr w:type="spellStart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>Hoven</w:t>
      </w:r>
      <w:proofErr w:type="spellEnd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 xml:space="preserve">, direttore generale dell’European Generic </w:t>
      </w:r>
      <w:proofErr w:type="spellStart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>medicines</w:t>
      </w:r>
      <w:proofErr w:type="spellEnd"/>
      <w:r w:rsidR="001C42A6" w:rsidRPr="00FF6A0C">
        <w:rPr>
          <w:rFonts w:ascii="Arial" w:eastAsiaTheme="minorHAnsi" w:hAnsi="Arial" w:cs="Arial"/>
          <w:b/>
          <w:color w:val="auto"/>
          <w:sz w:val="22"/>
          <w:szCs w:val="22"/>
        </w:rPr>
        <w:t xml:space="preserve"> Association</w:t>
      </w:r>
      <w:bookmarkEnd w:id="0"/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 xml:space="preserve">, “l’industria europea del farmaco equivalente e del biosimilare potrebbe trovarsi nelle condizioni di creare molti posti di lavoro in più e di aumentare l’accesso dei pazienti a medicinali di alta qualità. Ma perché questo si realizzi l’UE deve adottare rapidamente la strategia delineata nel documento della Commissione”. Senza trascurare, conclude </w:t>
      </w:r>
      <w:proofErr w:type="spellStart"/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>Häusermann</w:t>
      </w:r>
      <w:proofErr w:type="spellEnd"/>
      <w:r w:rsidR="001C42A6" w:rsidRPr="001C42A6">
        <w:rPr>
          <w:rFonts w:ascii="Arial" w:eastAsiaTheme="minorHAnsi" w:hAnsi="Arial" w:cs="Arial"/>
          <w:color w:val="auto"/>
          <w:sz w:val="22"/>
          <w:szCs w:val="22"/>
        </w:rPr>
        <w:t>, “che poter contare su una produzione più basata localmente permetterebbe ai generici di entrare rapidamente in commercio anche nei paesi UE alla scadenza del brevetto, con un ulteriore risparmio per i servizi sanitari che la stessa Commissione ha stimato nel 20% circa della spesa attuale”.</w:t>
      </w:r>
    </w:p>
    <w:p w:rsidR="00823039" w:rsidRPr="00DD651A" w:rsidRDefault="00823039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C42A6" w:rsidRDefault="001C42A6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1C42A6" w:rsidRDefault="001C42A6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1C42A6" w:rsidRDefault="001C42A6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45" w:rsidRDefault="00836D45" w:rsidP="007D75BE">
      <w:r>
        <w:separator/>
      </w:r>
    </w:p>
  </w:endnote>
  <w:endnote w:type="continuationSeparator" w:id="0">
    <w:p w:rsidR="00836D45" w:rsidRDefault="00836D45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45" w:rsidRDefault="00836D45" w:rsidP="007D75BE">
      <w:r>
        <w:separator/>
      </w:r>
    </w:p>
  </w:footnote>
  <w:footnote w:type="continuationSeparator" w:id="0">
    <w:p w:rsidR="00836D45" w:rsidRDefault="00836D45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8F3DB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1ED2E" wp14:editId="5B94D168">
          <wp:simplePos x="0" y="0"/>
          <wp:positionH relativeFrom="column">
            <wp:posOffset>4690110</wp:posOffset>
          </wp:positionH>
          <wp:positionV relativeFrom="paragraph">
            <wp:posOffset>-30480</wp:posOffset>
          </wp:positionV>
          <wp:extent cx="1420495" cy="1000125"/>
          <wp:effectExtent l="0" t="0" r="825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32CB">
      <w:rPr>
        <w:noProof/>
      </w:rPr>
      <w:drawing>
        <wp:inline distT="0" distB="0" distL="0" distR="0" wp14:anchorId="5587F1D6" wp14:editId="5B558C23">
          <wp:extent cx="3716061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633" cy="717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605C9"/>
    <w:rsid w:val="00067F79"/>
    <w:rsid w:val="000743E2"/>
    <w:rsid w:val="000F16BB"/>
    <w:rsid w:val="001649CA"/>
    <w:rsid w:val="001705A1"/>
    <w:rsid w:val="00191BE1"/>
    <w:rsid w:val="001B14F0"/>
    <w:rsid w:val="001B482F"/>
    <w:rsid w:val="001C42A6"/>
    <w:rsid w:val="0021368E"/>
    <w:rsid w:val="00306C8C"/>
    <w:rsid w:val="00315BEA"/>
    <w:rsid w:val="00347B1C"/>
    <w:rsid w:val="00350487"/>
    <w:rsid w:val="003733BB"/>
    <w:rsid w:val="00405868"/>
    <w:rsid w:val="00441586"/>
    <w:rsid w:val="004708F0"/>
    <w:rsid w:val="004F2E40"/>
    <w:rsid w:val="00522C06"/>
    <w:rsid w:val="00535D47"/>
    <w:rsid w:val="005A443C"/>
    <w:rsid w:val="006247AF"/>
    <w:rsid w:val="006C0174"/>
    <w:rsid w:val="006C7C71"/>
    <w:rsid w:val="00740B1D"/>
    <w:rsid w:val="00747C87"/>
    <w:rsid w:val="0075479F"/>
    <w:rsid w:val="007957F5"/>
    <w:rsid w:val="007D75BE"/>
    <w:rsid w:val="007F420D"/>
    <w:rsid w:val="00807C9F"/>
    <w:rsid w:val="00823039"/>
    <w:rsid w:val="00836D45"/>
    <w:rsid w:val="0084736E"/>
    <w:rsid w:val="00865750"/>
    <w:rsid w:val="0089014E"/>
    <w:rsid w:val="008968D9"/>
    <w:rsid w:val="008C1F18"/>
    <w:rsid w:val="008F3DB8"/>
    <w:rsid w:val="00900BD6"/>
    <w:rsid w:val="009737D0"/>
    <w:rsid w:val="00A1665B"/>
    <w:rsid w:val="00A53D88"/>
    <w:rsid w:val="00AD072E"/>
    <w:rsid w:val="00B11405"/>
    <w:rsid w:val="00B62FAA"/>
    <w:rsid w:val="00B747FB"/>
    <w:rsid w:val="00BF3246"/>
    <w:rsid w:val="00BF57E0"/>
    <w:rsid w:val="00C05D74"/>
    <w:rsid w:val="00C55554"/>
    <w:rsid w:val="00CA3AE9"/>
    <w:rsid w:val="00CE51EF"/>
    <w:rsid w:val="00D023C2"/>
    <w:rsid w:val="00D23AD2"/>
    <w:rsid w:val="00D46E7A"/>
    <w:rsid w:val="00D554A3"/>
    <w:rsid w:val="00D72C44"/>
    <w:rsid w:val="00D73975"/>
    <w:rsid w:val="00D85CE4"/>
    <w:rsid w:val="00D8737B"/>
    <w:rsid w:val="00DA310B"/>
    <w:rsid w:val="00DD651A"/>
    <w:rsid w:val="00DF4CE1"/>
    <w:rsid w:val="00DF648B"/>
    <w:rsid w:val="00E62E94"/>
    <w:rsid w:val="00EF5D1F"/>
    <w:rsid w:val="00F21D82"/>
    <w:rsid w:val="00F21F1B"/>
    <w:rsid w:val="00F450EA"/>
    <w:rsid w:val="00F62FA8"/>
    <w:rsid w:val="00F82690"/>
    <w:rsid w:val="00F87847"/>
    <w:rsid w:val="00FA40C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97F0-F889-4FFD-ADD1-7F364B8C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14</cp:revision>
  <dcterms:created xsi:type="dcterms:W3CDTF">2015-05-04T09:10:00Z</dcterms:created>
  <dcterms:modified xsi:type="dcterms:W3CDTF">2015-10-28T16:28:00Z</dcterms:modified>
</cp:coreProperties>
</file>