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83" w:rsidRDefault="00E56DFF" w:rsidP="00E56DFF">
      <w:r>
        <w:t xml:space="preserve">                                 </w:t>
      </w:r>
    </w:p>
    <w:p w:rsidR="00C11B83" w:rsidRPr="00A366F2" w:rsidRDefault="009B103B" w:rsidP="009B103B">
      <w:pPr>
        <w:jc w:val="center"/>
        <w:rPr>
          <w:rFonts w:ascii="Arial" w:hAnsi="Arial" w:cs="Arial"/>
          <w:i/>
          <w:u w:val="single"/>
        </w:rPr>
      </w:pPr>
      <w:r w:rsidRPr="00A366F2">
        <w:rPr>
          <w:rFonts w:ascii="Arial" w:hAnsi="Arial" w:cs="Arial"/>
          <w:i/>
          <w:u w:val="single"/>
        </w:rPr>
        <w:t>Comunicato stampa</w:t>
      </w:r>
    </w:p>
    <w:p w:rsidR="00A366F2" w:rsidRPr="00A366F2" w:rsidRDefault="00A366F2" w:rsidP="00C41C44">
      <w:pPr>
        <w:jc w:val="center"/>
        <w:rPr>
          <w:rFonts w:ascii="Arial" w:hAnsi="Arial" w:cs="Arial"/>
          <w:b/>
          <w:sz w:val="16"/>
          <w:szCs w:val="16"/>
        </w:rPr>
      </w:pPr>
    </w:p>
    <w:p w:rsidR="00D46E03" w:rsidRDefault="00C542D3" w:rsidP="00C542D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542D3">
        <w:rPr>
          <w:rFonts w:ascii="Arial" w:hAnsi="Arial" w:cs="Arial"/>
          <w:b/>
          <w:sz w:val="36"/>
          <w:szCs w:val="36"/>
        </w:rPr>
        <w:t>Biosimilari: le buone regole per favorire accesso</w:t>
      </w:r>
      <w:r>
        <w:rPr>
          <w:rFonts w:ascii="Arial" w:hAnsi="Arial" w:cs="Arial"/>
          <w:b/>
          <w:sz w:val="36"/>
          <w:szCs w:val="36"/>
        </w:rPr>
        <w:br/>
      </w:r>
      <w:r w:rsidRPr="00C542D3">
        <w:rPr>
          <w:rFonts w:ascii="Arial" w:hAnsi="Arial" w:cs="Arial"/>
          <w:b/>
          <w:sz w:val="36"/>
          <w:szCs w:val="36"/>
        </w:rPr>
        <w:t xml:space="preserve"> alle cure</w:t>
      </w:r>
      <w:r w:rsidR="00845CDE">
        <w:rPr>
          <w:rFonts w:ascii="Arial" w:hAnsi="Arial" w:cs="Arial"/>
          <w:b/>
          <w:sz w:val="36"/>
          <w:szCs w:val="36"/>
        </w:rPr>
        <w:t xml:space="preserve"> e</w:t>
      </w:r>
      <w:r w:rsidRPr="00C542D3">
        <w:rPr>
          <w:rFonts w:ascii="Arial" w:hAnsi="Arial" w:cs="Arial"/>
          <w:b/>
          <w:sz w:val="36"/>
          <w:szCs w:val="36"/>
        </w:rPr>
        <w:t xml:space="preserve"> sostenibilità del sistema</w:t>
      </w:r>
    </w:p>
    <w:p w:rsidR="00D46E03" w:rsidRDefault="00D46E03" w:rsidP="00A366F2">
      <w:pPr>
        <w:spacing w:after="0"/>
        <w:jc w:val="both"/>
        <w:rPr>
          <w:rFonts w:ascii="Arial" w:hAnsi="Arial" w:cs="Arial"/>
          <w:b/>
        </w:rPr>
      </w:pPr>
    </w:p>
    <w:p w:rsidR="00C542D3" w:rsidRPr="00C542D3" w:rsidRDefault="0044108C" w:rsidP="00B731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Roma, 4</w:t>
      </w:r>
      <w:r w:rsidR="00C542D3">
        <w:rPr>
          <w:rFonts w:ascii="Arial" w:hAnsi="Arial" w:cs="Arial"/>
          <w:b/>
        </w:rPr>
        <w:t xml:space="preserve"> novembre</w:t>
      </w:r>
      <w:r w:rsidR="00C11B83" w:rsidRPr="00C11B83">
        <w:rPr>
          <w:rFonts w:ascii="Arial" w:hAnsi="Arial" w:cs="Arial"/>
          <w:b/>
        </w:rPr>
        <w:t xml:space="preserve"> 2014</w:t>
      </w:r>
      <w:r w:rsidR="00C11B83">
        <w:rPr>
          <w:rFonts w:ascii="Arial" w:hAnsi="Arial" w:cs="Arial"/>
        </w:rPr>
        <w:t xml:space="preserve">. </w:t>
      </w:r>
      <w:r w:rsidR="00C542D3" w:rsidRPr="00C542D3">
        <w:rPr>
          <w:rFonts w:ascii="Arial" w:hAnsi="Arial" w:cs="Arial"/>
        </w:rPr>
        <w:t>E’ stato presentato oggi a Roma il rapporto “Factors Supporting a Sustainable Europe</w:t>
      </w:r>
      <w:r w:rsidR="00C542D3">
        <w:rPr>
          <w:rFonts w:ascii="Arial" w:hAnsi="Arial" w:cs="Arial"/>
        </w:rPr>
        <w:t>an Biosimilar Medicines Market”</w:t>
      </w:r>
      <w:r w:rsidR="00C542D3" w:rsidRPr="00C542D3">
        <w:rPr>
          <w:rFonts w:ascii="Arial" w:hAnsi="Arial" w:cs="Arial"/>
        </w:rPr>
        <w:t>, commissionato all’is</w:t>
      </w:r>
      <w:r w:rsidR="00C542D3">
        <w:rPr>
          <w:rFonts w:ascii="Arial" w:hAnsi="Arial" w:cs="Arial"/>
        </w:rPr>
        <w:t xml:space="preserve">tituto di ricerche tedesco GfK </w:t>
      </w:r>
      <w:r w:rsidR="00F11CEA">
        <w:rPr>
          <w:rFonts w:ascii="Arial" w:hAnsi="Arial" w:cs="Arial"/>
        </w:rPr>
        <w:t xml:space="preserve">dal Gruppo Biosimilari (EBG) </w:t>
      </w:r>
      <w:r w:rsidR="00C542D3" w:rsidRPr="00C542D3">
        <w:rPr>
          <w:rFonts w:ascii="Arial" w:hAnsi="Arial" w:cs="Arial"/>
        </w:rPr>
        <w:t>della European Generic Medicines Association (EGA). L’indagine è stata condotta su un campione di responsabili delle politiche sanitarie, medici, associazioni di pazienti, rappres</w:t>
      </w:r>
      <w:r w:rsidR="00C542D3">
        <w:rPr>
          <w:rFonts w:ascii="Arial" w:hAnsi="Arial" w:cs="Arial"/>
        </w:rPr>
        <w:t>entanti dell’industria di sette paesi europei (Francia, Germania</w:t>
      </w:r>
      <w:r w:rsidR="00C542D3" w:rsidRPr="00C542D3">
        <w:rPr>
          <w:rFonts w:ascii="Arial" w:hAnsi="Arial" w:cs="Arial"/>
        </w:rPr>
        <w:t xml:space="preserve">, Ungheria, Italia, Polonia, Spagna e Regno Unito).  </w:t>
      </w:r>
      <w:r w:rsidR="00531B8F">
        <w:rPr>
          <w:rFonts w:ascii="Arial" w:hAnsi="Arial" w:cs="Arial"/>
        </w:rPr>
        <w:t>“</w:t>
      </w:r>
      <w:r w:rsidR="00C542D3" w:rsidRPr="00C542D3">
        <w:rPr>
          <w:rFonts w:ascii="Arial" w:hAnsi="Arial" w:cs="Arial"/>
        </w:rPr>
        <w:t xml:space="preserve">Il rapporto” commenta il </w:t>
      </w:r>
      <w:r w:rsidR="00C542D3" w:rsidRPr="00F660F9">
        <w:rPr>
          <w:rFonts w:ascii="Arial" w:hAnsi="Arial" w:cs="Arial"/>
          <w:b/>
        </w:rPr>
        <w:t>Presidente di AssoGenerici Enrique Hausermann</w:t>
      </w:r>
      <w:r w:rsidR="00C542D3">
        <w:rPr>
          <w:rFonts w:ascii="Arial" w:hAnsi="Arial" w:cs="Arial"/>
        </w:rPr>
        <w:t xml:space="preserve">, “conferma </w:t>
      </w:r>
      <w:r w:rsidR="00C542D3" w:rsidRPr="00C542D3">
        <w:rPr>
          <w:rFonts w:ascii="Arial" w:hAnsi="Arial" w:cs="Arial"/>
        </w:rPr>
        <w:t xml:space="preserve">che i farmaci biosimilari consentiranno ai pazienti europei un migliore accesso ai prodotti biologici ritenuti essenziali per molte terapie ormai divenute gold standard, offrendo nel contempo risparmi a lungo termine indispensabili per rendere sostenibili i Servizi Sanitari Europei, compreso quello italiano. Il rapporto ha anche fornito </w:t>
      </w:r>
      <w:r w:rsidR="00C542D3">
        <w:rPr>
          <w:rFonts w:ascii="Arial" w:hAnsi="Arial" w:cs="Arial"/>
        </w:rPr>
        <w:t>indicazioni concrete, operative</w:t>
      </w:r>
      <w:r w:rsidR="00C542D3" w:rsidRPr="00C542D3">
        <w:rPr>
          <w:rFonts w:ascii="Arial" w:hAnsi="Arial" w:cs="Arial"/>
        </w:rPr>
        <w:t xml:space="preserve">”. Lo studio, infatti, come illustrato da </w:t>
      </w:r>
      <w:r w:rsidR="00C542D3" w:rsidRPr="00D0070B">
        <w:rPr>
          <w:rFonts w:ascii="Arial" w:hAnsi="Arial" w:cs="Arial"/>
          <w:b/>
        </w:rPr>
        <w:t>Chris Teale, Vicepresidente GfK</w:t>
      </w:r>
      <w:r w:rsidR="00C542D3">
        <w:rPr>
          <w:rFonts w:ascii="Arial" w:hAnsi="Arial" w:cs="Arial"/>
        </w:rPr>
        <w:t xml:space="preserve">, “ha </w:t>
      </w:r>
      <w:r w:rsidR="00C542D3" w:rsidRPr="00C542D3">
        <w:rPr>
          <w:rFonts w:ascii="Arial" w:hAnsi="Arial" w:cs="Arial"/>
        </w:rPr>
        <w:t xml:space="preserve">raccolto i punti di vista di tutti i soggetti potenzialmente interessati all’uso dei farmaci biosimilari identificando ciò che deve accadere perché il settore dei farmaci biosimilari possa portare benefici significativi a tutta la comunità ". </w:t>
      </w:r>
    </w:p>
    <w:p w:rsidR="00C542D3" w:rsidRPr="00C542D3" w:rsidRDefault="00C542D3" w:rsidP="00B73173">
      <w:pPr>
        <w:spacing w:after="0" w:line="240" w:lineRule="auto"/>
        <w:jc w:val="both"/>
        <w:rPr>
          <w:rFonts w:ascii="Arial" w:hAnsi="Arial" w:cs="Arial"/>
        </w:rPr>
      </w:pPr>
    </w:p>
    <w:p w:rsidR="00C542D3" w:rsidRPr="00C542D3" w:rsidRDefault="00C542D3" w:rsidP="00C542D3">
      <w:pPr>
        <w:spacing w:after="0"/>
        <w:jc w:val="both"/>
        <w:rPr>
          <w:rFonts w:ascii="Arial" w:hAnsi="Arial" w:cs="Arial"/>
        </w:rPr>
      </w:pPr>
      <w:r w:rsidRPr="00C542D3">
        <w:rPr>
          <w:rFonts w:ascii="Arial" w:hAnsi="Arial" w:cs="Arial"/>
        </w:rPr>
        <w:t>Questi, in sintesi, i punti identificati nel rapporto come condizioni necessarie per lo sviluppo del biosimilare:</w:t>
      </w:r>
    </w:p>
    <w:p w:rsidR="00C542D3" w:rsidRPr="00C542D3" w:rsidRDefault="00C542D3" w:rsidP="00C542D3">
      <w:pPr>
        <w:spacing w:after="0"/>
        <w:jc w:val="both"/>
        <w:rPr>
          <w:rFonts w:ascii="Arial" w:hAnsi="Arial" w:cs="Arial"/>
        </w:rPr>
      </w:pPr>
    </w:p>
    <w:p w:rsidR="00C542D3" w:rsidRPr="00C542D3" w:rsidRDefault="00C542D3" w:rsidP="00C542D3">
      <w:pPr>
        <w:spacing w:after="0"/>
        <w:jc w:val="both"/>
        <w:rPr>
          <w:rFonts w:ascii="Arial" w:hAnsi="Arial" w:cs="Arial"/>
        </w:rPr>
      </w:pPr>
      <w:r w:rsidRPr="00C542D3">
        <w:rPr>
          <w:rFonts w:ascii="Arial" w:hAnsi="Arial" w:cs="Arial"/>
        </w:rPr>
        <w:t>•</w:t>
      </w:r>
      <w:r w:rsidRPr="00C542D3">
        <w:rPr>
          <w:rFonts w:ascii="Arial" w:hAnsi="Arial" w:cs="Arial"/>
        </w:rPr>
        <w:tab/>
        <w:t>Informare in modo imparziale tutti i soggetti interessati - medici, pazienti, professionisti sanitari ed autorità governative che sovraintendono alla politica sanitaria;</w:t>
      </w:r>
    </w:p>
    <w:p w:rsidR="00C542D3" w:rsidRPr="00C542D3" w:rsidRDefault="00C542D3" w:rsidP="00C542D3">
      <w:pPr>
        <w:spacing w:after="0"/>
        <w:jc w:val="both"/>
        <w:rPr>
          <w:rFonts w:ascii="Arial" w:hAnsi="Arial" w:cs="Arial"/>
        </w:rPr>
      </w:pPr>
      <w:r w:rsidRPr="00C542D3">
        <w:rPr>
          <w:rFonts w:ascii="Arial" w:hAnsi="Arial" w:cs="Arial"/>
        </w:rPr>
        <w:t>•</w:t>
      </w:r>
      <w:r w:rsidRPr="00C542D3">
        <w:rPr>
          <w:rFonts w:ascii="Arial" w:hAnsi="Arial" w:cs="Arial"/>
        </w:rPr>
        <w:tab/>
        <w:t>Promuovere e mantenere la concorrenza nel mercato farmaceutico incentivando un adeguato uso precoce dei farmaci biosimilari in combinazione con politiche di prezzi sostenibili;</w:t>
      </w:r>
    </w:p>
    <w:p w:rsidR="00C542D3" w:rsidRPr="00C542D3" w:rsidRDefault="00D54B37" w:rsidP="00C542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P</w:t>
      </w:r>
      <w:r w:rsidR="00C542D3" w:rsidRPr="00C542D3">
        <w:rPr>
          <w:rFonts w:ascii="Arial" w:hAnsi="Arial" w:cs="Arial"/>
        </w:rPr>
        <w:t>romuovere l'innovazione e garantire un'equa remunerazione del capitale investito;</w:t>
      </w:r>
    </w:p>
    <w:p w:rsidR="00C542D3" w:rsidRPr="00C542D3" w:rsidRDefault="00C542D3" w:rsidP="00C542D3">
      <w:pPr>
        <w:spacing w:after="0"/>
        <w:jc w:val="both"/>
        <w:rPr>
          <w:rFonts w:ascii="Arial" w:hAnsi="Arial" w:cs="Arial"/>
        </w:rPr>
      </w:pPr>
      <w:r w:rsidRPr="00C542D3">
        <w:rPr>
          <w:rFonts w:ascii="Arial" w:hAnsi="Arial" w:cs="Arial"/>
        </w:rPr>
        <w:t>•</w:t>
      </w:r>
      <w:r w:rsidRPr="00C542D3">
        <w:rPr>
          <w:rFonts w:ascii="Arial" w:hAnsi="Arial" w:cs="Arial"/>
        </w:rPr>
        <w:tab/>
        <w:t>Raccogliere e pubblicare dati clinici basati sull’evidenza dimostrata nelle reali condizioni d’impiego (Real World Evidence - RWE) per rafforzare la fiducia verso la sicurezza e l'efficacia dei farmaci biosimilari;</w:t>
      </w:r>
    </w:p>
    <w:p w:rsidR="00C542D3" w:rsidRPr="00C542D3" w:rsidRDefault="00C542D3" w:rsidP="00C542D3">
      <w:pPr>
        <w:spacing w:after="0"/>
        <w:jc w:val="both"/>
        <w:rPr>
          <w:rFonts w:ascii="Arial" w:hAnsi="Arial" w:cs="Arial"/>
        </w:rPr>
      </w:pPr>
      <w:r w:rsidRPr="00C542D3">
        <w:rPr>
          <w:rFonts w:ascii="Arial" w:hAnsi="Arial" w:cs="Arial"/>
        </w:rPr>
        <w:t>•</w:t>
      </w:r>
      <w:r w:rsidRPr="00C542D3">
        <w:rPr>
          <w:rFonts w:ascii="Arial" w:hAnsi="Arial" w:cs="Arial"/>
        </w:rPr>
        <w:tab/>
        <w:t xml:space="preserve">Realizzare procedure di acquisto trasparenti e condivise tra </w:t>
      </w:r>
      <w:proofErr w:type="gramStart"/>
      <w:r w:rsidRPr="00C542D3">
        <w:rPr>
          <w:rFonts w:ascii="Arial" w:hAnsi="Arial" w:cs="Arial"/>
        </w:rPr>
        <w:t>Payers ,</w:t>
      </w:r>
      <w:proofErr w:type="gramEnd"/>
      <w:r w:rsidRPr="00C542D3">
        <w:rPr>
          <w:rFonts w:ascii="Arial" w:hAnsi="Arial" w:cs="Arial"/>
        </w:rPr>
        <w:t xml:space="preserve"> Medici, Pazienti;</w:t>
      </w:r>
    </w:p>
    <w:p w:rsidR="00C542D3" w:rsidRPr="00C542D3" w:rsidRDefault="002D092B" w:rsidP="00C542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P</w:t>
      </w:r>
      <w:r w:rsidR="00C542D3" w:rsidRPr="00C542D3">
        <w:rPr>
          <w:rFonts w:ascii="Arial" w:hAnsi="Arial" w:cs="Arial"/>
        </w:rPr>
        <w:t xml:space="preserve">erseguire processi decisionali chiari ed efficienti che non ritardino la disponibilità dei </w:t>
      </w:r>
      <w:r w:rsidR="00626B4F">
        <w:rPr>
          <w:rFonts w:ascii="Arial" w:hAnsi="Arial" w:cs="Arial"/>
        </w:rPr>
        <w:t>farmaci biosimilari sul mercato.</w:t>
      </w:r>
    </w:p>
    <w:p w:rsidR="00C542D3" w:rsidRPr="00C542D3" w:rsidRDefault="00C542D3" w:rsidP="00B73173">
      <w:pPr>
        <w:spacing w:after="0" w:line="240" w:lineRule="auto"/>
        <w:jc w:val="both"/>
        <w:rPr>
          <w:rFonts w:ascii="Arial" w:hAnsi="Arial" w:cs="Arial"/>
        </w:rPr>
      </w:pPr>
    </w:p>
    <w:p w:rsidR="007B15A9" w:rsidRDefault="00C542D3" w:rsidP="00B73173">
      <w:pPr>
        <w:spacing w:after="0" w:line="240" w:lineRule="auto"/>
        <w:jc w:val="both"/>
        <w:rPr>
          <w:rFonts w:ascii="Arial" w:hAnsi="Arial" w:cs="Arial"/>
        </w:rPr>
      </w:pPr>
      <w:r w:rsidRPr="00C542D3">
        <w:rPr>
          <w:rFonts w:ascii="Arial" w:hAnsi="Arial" w:cs="Arial"/>
        </w:rPr>
        <w:t xml:space="preserve">“Lo studio suona a conferma della linea tenuta finora da AssoGenerici” sottolinea il </w:t>
      </w:r>
      <w:r w:rsidRPr="00F660F9">
        <w:rPr>
          <w:rFonts w:ascii="Arial" w:hAnsi="Arial" w:cs="Arial"/>
          <w:b/>
        </w:rPr>
        <w:t>vicepresidente dell’Associazione, Francesco Colantuoni</w:t>
      </w:r>
      <w:r w:rsidRPr="00C542D3">
        <w:rPr>
          <w:rFonts w:ascii="Arial" w:hAnsi="Arial" w:cs="Arial"/>
        </w:rPr>
        <w:t>. “Il nostro impegno nel favorire la discussione sui biosimilari nella comunità scientifica è costante, così come il lavoro per garantire al pubblico un’informazione corretta. Resta comunque la necessità di creare un coinvolgimento ancora maggiore di tutti gli stakeholder”. Per meglio articolare questa azione, è stato costituito l’Italian Biosimilar Gro</w:t>
      </w:r>
      <w:r>
        <w:rPr>
          <w:rFonts w:ascii="Arial" w:hAnsi="Arial" w:cs="Arial"/>
        </w:rPr>
        <w:t>up (IBG), il gruppo interno ad AssoG</w:t>
      </w:r>
      <w:r w:rsidRPr="00C542D3">
        <w:rPr>
          <w:rFonts w:ascii="Arial" w:hAnsi="Arial" w:cs="Arial"/>
        </w:rPr>
        <w:t>enerici che raccoglie le aziende leader del settore, che h</w:t>
      </w:r>
      <w:r>
        <w:rPr>
          <w:rFonts w:ascii="Arial" w:hAnsi="Arial" w:cs="Arial"/>
        </w:rPr>
        <w:t xml:space="preserve">anno introdotto la concorrenza </w:t>
      </w:r>
      <w:r w:rsidRPr="00C542D3">
        <w:rPr>
          <w:rFonts w:ascii="Arial" w:hAnsi="Arial" w:cs="Arial"/>
        </w:rPr>
        <w:t>nel mercato del farmaco biotecnologico, favorendo c</w:t>
      </w:r>
      <w:r>
        <w:rPr>
          <w:rFonts w:ascii="Arial" w:hAnsi="Arial" w:cs="Arial"/>
        </w:rPr>
        <w:t xml:space="preserve">osì </w:t>
      </w:r>
      <w:r w:rsidR="000A436B">
        <w:rPr>
          <w:rFonts w:ascii="Arial" w:hAnsi="Arial" w:cs="Arial"/>
        </w:rPr>
        <w:t xml:space="preserve">l’accesso </w:t>
      </w:r>
      <w:r w:rsidRPr="00C542D3">
        <w:rPr>
          <w:rFonts w:ascii="Arial" w:hAnsi="Arial" w:cs="Arial"/>
        </w:rPr>
        <w:t xml:space="preserve">ai trattamenti più innovativi da parte di una platea più vasta di pazienti italiani e </w:t>
      </w:r>
    </w:p>
    <w:p w:rsidR="007B15A9" w:rsidRDefault="007B15A9" w:rsidP="00B73173">
      <w:pPr>
        <w:spacing w:after="0" w:line="240" w:lineRule="auto"/>
        <w:jc w:val="both"/>
        <w:rPr>
          <w:rFonts w:ascii="Arial" w:hAnsi="Arial" w:cs="Arial"/>
        </w:rPr>
      </w:pPr>
    </w:p>
    <w:p w:rsidR="007B15A9" w:rsidRDefault="007B15A9" w:rsidP="00C542D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BC7932" w:rsidRDefault="00C542D3" w:rsidP="00C542D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contribuendo</w:t>
      </w:r>
      <w:proofErr w:type="gramEnd"/>
      <w:r>
        <w:rPr>
          <w:rFonts w:ascii="Arial" w:hAnsi="Arial" w:cs="Arial"/>
        </w:rPr>
        <w:t xml:space="preserve"> </w:t>
      </w:r>
      <w:r w:rsidRPr="00C542D3">
        <w:rPr>
          <w:rFonts w:ascii="Arial" w:hAnsi="Arial" w:cs="Arial"/>
        </w:rPr>
        <w:t>alla sostenibilità della tutela della salute. Da oggi il gruppo IBG” prosegue Colantuoni “potrà essere i</w:t>
      </w:r>
      <w:r w:rsidR="002A432E">
        <w:rPr>
          <w:rFonts w:ascii="Arial" w:hAnsi="Arial" w:cs="Arial"/>
        </w:rPr>
        <w:t>l punto di riferimento per tutta</w:t>
      </w:r>
      <w:r w:rsidRPr="00C542D3">
        <w:rPr>
          <w:rFonts w:ascii="Arial" w:hAnsi="Arial" w:cs="Arial"/>
        </w:rPr>
        <w:t xml:space="preserve"> l’industria”.</w:t>
      </w:r>
    </w:p>
    <w:p w:rsidR="00D46E03" w:rsidRDefault="00D46E03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774B5" w:rsidRDefault="004114D7" w:rsidP="004114D7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 w:rsidRPr="004114D7">
        <w:rPr>
          <w:rFonts w:ascii="Arial" w:hAnsi="Arial" w:cs="Arial"/>
          <w:sz w:val="22"/>
          <w:szCs w:val="22"/>
        </w:rPr>
        <w:t xml:space="preserve">E’ possibile scaricare il </w:t>
      </w:r>
      <w:r>
        <w:rPr>
          <w:rFonts w:ascii="Arial" w:hAnsi="Arial" w:cs="Arial"/>
          <w:sz w:val="22"/>
          <w:szCs w:val="22"/>
        </w:rPr>
        <w:t xml:space="preserve">testo integrale del </w:t>
      </w:r>
      <w:r w:rsidRPr="004114D7">
        <w:rPr>
          <w:rFonts w:ascii="Arial" w:hAnsi="Arial" w:cs="Arial"/>
          <w:sz w:val="22"/>
          <w:szCs w:val="22"/>
        </w:rPr>
        <w:t xml:space="preserve">Rapporto </w:t>
      </w:r>
      <w:r>
        <w:rPr>
          <w:rFonts w:ascii="Arial" w:hAnsi="Arial" w:cs="Arial"/>
          <w:sz w:val="22"/>
          <w:szCs w:val="22"/>
        </w:rPr>
        <w:t>GFK “</w:t>
      </w:r>
      <w:r w:rsidRPr="004114D7">
        <w:rPr>
          <w:rFonts w:ascii="Arial" w:hAnsi="Arial" w:cs="Arial"/>
          <w:i/>
          <w:sz w:val="22"/>
          <w:szCs w:val="22"/>
        </w:rPr>
        <w:t>Factors Supporting a Sustainable European Biosimilar Medicines Market</w:t>
      </w:r>
      <w:r>
        <w:rPr>
          <w:rFonts w:ascii="Arial" w:hAnsi="Arial" w:cs="Arial"/>
          <w:sz w:val="22"/>
          <w:szCs w:val="22"/>
        </w:rPr>
        <w:t xml:space="preserve">” </w:t>
      </w:r>
    </w:p>
    <w:p w:rsidR="00E06D09" w:rsidRDefault="00B73173" w:rsidP="004114D7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hyperlink r:id="rId6" w:history="1">
        <w:r w:rsidR="00E06D09" w:rsidRPr="00204B2E">
          <w:rPr>
            <w:rStyle w:val="Collegamentoipertestuale"/>
            <w:rFonts w:ascii="Arial" w:hAnsi="Arial" w:cs="Arial"/>
            <w:sz w:val="22"/>
            <w:szCs w:val="22"/>
          </w:rPr>
          <w:t>http://www.egagenerics.com/images/Website/GfK_Final_Report-_Factors_Supporting_a_Sustainable_European_Biosimilar_Medicines_Market.pdf</w:t>
        </w:r>
      </w:hyperlink>
    </w:p>
    <w:p w:rsidR="00E06D09" w:rsidRPr="00E06D09" w:rsidRDefault="00E06D09" w:rsidP="004114D7">
      <w:pPr>
        <w:pStyle w:val="NormaleWeb"/>
        <w:spacing w:after="0"/>
        <w:jc w:val="both"/>
        <w:rPr>
          <w:rFonts w:ascii="Arial" w:hAnsi="Arial" w:cs="Arial"/>
          <w:b/>
          <w:i/>
          <w:sz w:val="22"/>
          <w:szCs w:val="22"/>
        </w:rPr>
      </w:pPr>
      <w:r w:rsidRPr="00E06D09">
        <w:rPr>
          <w:rFonts w:ascii="Arial" w:hAnsi="Arial" w:cs="Arial"/>
          <w:b/>
          <w:i/>
          <w:sz w:val="22"/>
          <w:szCs w:val="22"/>
        </w:rPr>
        <w:t xml:space="preserve">Nel caso il link </w:t>
      </w:r>
      <w:r>
        <w:rPr>
          <w:rFonts w:ascii="Arial" w:hAnsi="Arial" w:cs="Arial"/>
          <w:b/>
          <w:i/>
          <w:sz w:val="22"/>
          <w:szCs w:val="22"/>
        </w:rPr>
        <w:t xml:space="preserve">diretto </w:t>
      </w:r>
      <w:r w:rsidRPr="00E06D09">
        <w:rPr>
          <w:rFonts w:ascii="Arial" w:hAnsi="Arial" w:cs="Arial"/>
          <w:b/>
          <w:i/>
          <w:sz w:val="22"/>
          <w:szCs w:val="22"/>
        </w:rPr>
        <w:t>non funzionasse, copiare la stringa ti testo e immetterla nel browser direttamente.</w:t>
      </w:r>
    </w:p>
    <w:p w:rsidR="004114D7" w:rsidRDefault="004114D7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4114D7" w:rsidRDefault="004114D7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4114D7" w:rsidRDefault="004114D7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4114D7" w:rsidRDefault="004114D7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774B5" w:rsidRDefault="005774B5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774B5" w:rsidRDefault="005774B5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9B103B" w:rsidRPr="009B103B" w:rsidRDefault="009B103B" w:rsidP="009B103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B103B">
        <w:rPr>
          <w:rFonts w:ascii="Arial" w:hAnsi="Arial" w:cs="Arial"/>
          <w:b/>
          <w:sz w:val="22"/>
          <w:szCs w:val="22"/>
        </w:rPr>
        <w:t>Per ulteriori informazioni:</w:t>
      </w:r>
    </w:p>
    <w:p w:rsidR="009B103B" w:rsidRPr="00DA4AE8" w:rsidRDefault="009B103B" w:rsidP="009B103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4AE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9975" cy="120650"/>
            <wp:effectExtent l="19050" t="0" r="0" b="0"/>
            <wp:docPr id="3" name="Immagine 4" descr="http://newsletter.vrelations.it/userfiles/LOGOVR(1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9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E8">
        <w:rPr>
          <w:rFonts w:ascii="Arial" w:hAnsi="Arial" w:cs="Arial"/>
          <w:sz w:val="22"/>
          <w:szCs w:val="22"/>
        </w:rPr>
        <w:br/>
        <w:t xml:space="preserve">Ufficio Stampa </w:t>
      </w:r>
      <w:r>
        <w:rPr>
          <w:rFonts w:ascii="Arial" w:hAnsi="Arial" w:cs="Arial"/>
          <w:sz w:val="22"/>
          <w:szCs w:val="22"/>
        </w:rPr>
        <w:t>AssoGenerici</w:t>
      </w:r>
      <w:r>
        <w:rPr>
          <w:rFonts w:ascii="Arial" w:hAnsi="Arial" w:cs="Arial"/>
          <w:sz w:val="22"/>
          <w:szCs w:val="22"/>
        </w:rPr>
        <w:br/>
        <w:t>tel. 02/2042491</w:t>
      </w:r>
      <w:r w:rsidRPr="00DA4AE8">
        <w:rPr>
          <w:rFonts w:ascii="Arial" w:hAnsi="Arial" w:cs="Arial"/>
          <w:sz w:val="22"/>
          <w:szCs w:val="22"/>
        </w:rPr>
        <w:br/>
        <w:t>Massimo Cherubini - cellulare 335/82.31.700</w:t>
      </w:r>
      <w:r w:rsidRPr="00DA4AE8">
        <w:rPr>
          <w:rFonts w:ascii="Arial" w:hAnsi="Arial" w:cs="Arial"/>
          <w:sz w:val="22"/>
          <w:szCs w:val="22"/>
        </w:rPr>
        <w:br/>
        <w:t xml:space="preserve">e-mail: </w:t>
      </w:r>
      <w:hyperlink r:id="rId8" w:history="1">
        <w:r w:rsidRPr="00DA4AE8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</w:p>
    <w:p w:rsidR="001243BE" w:rsidRDefault="00B73173"/>
    <w:sectPr w:rsidR="001243BE" w:rsidSect="00307E6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21" w:rsidRDefault="008D3621" w:rsidP="00C11B83">
      <w:pPr>
        <w:spacing w:after="0" w:line="240" w:lineRule="auto"/>
      </w:pPr>
      <w:r>
        <w:separator/>
      </w:r>
    </w:p>
  </w:endnote>
  <w:endnote w:type="continuationSeparator" w:id="0">
    <w:p w:rsidR="008D3621" w:rsidRDefault="008D3621" w:rsidP="00C1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21" w:rsidRDefault="008D3621" w:rsidP="00C11B83">
      <w:pPr>
        <w:spacing w:after="0" w:line="240" w:lineRule="auto"/>
      </w:pPr>
      <w:r>
        <w:separator/>
      </w:r>
    </w:p>
  </w:footnote>
  <w:footnote w:type="continuationSeparator" w:id="0">
    <w:p w:rsidR="008D3621" w:rsidRDefault="008D3621" w:rsidP="00C1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83" w:rsidRDefault="00C11B83" w:rsidP="00C11B8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444365" cy="7924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DFF"/>
    <w:rsid w:val="00050D83"/>
    <w:rsid w:val="00071E1D"/>
    <w:rsid w:val="0009793F"/>
    <w:rsid w:val="000A436B"/>
    <w:rsid w:val="000B22C9"/>
    <w:rsid w:val="001A6FED"/>
    <w:rsid w:val="001B3C13"/>
    <w:rsid w:val="001C0C9B"/>
    <w:rsid w:val="0028046E"/>
    <w:rsid w:val="002A432E"/>
    <w:rsid w:val="002D092B"/>
    <w:rsid w:val="002D5436"/>
    <w:rsid w:val="00307E6A"/>
    <w:rsid w:val="003E543E"/>
    <w:rsid w:val="003E54B5"/>
    <w:rsid w:val="003E6C23"/>
    <w:rsid w:val="004114D7"/>
    <w:rsid w:val="0043056F"/>
    <w:rsid w:val="0044108C"/>
    <w:rsid w:val="004F6CB3"/>
    <w:rsid w:val="0050267E"/>
    <w:rsid w:val="00531B8F"/>
    <w:rsid w:val="005774B5"/>
    <w:rsid w:val="005A7A36"/>
    <w:rsid w:val="005B146B"/>
    <w:rsid w:val="005C45CB"/>
    <w:rsid w:val="005D1F56"/>
    <w:rsid w:val="00626B4F"/>
    <w:rsid w:val="006B2E87"/>
    <w:rsid w:val="006B6DA5"/>
    <w:rsid w:val="006E57C7"/>
    <w:rsid w:val="007008B0"/>
    <w:rsid w:val="007A2E27"/>
    <w:rsid w:val="007B15A9"/>
    <w:rsid w:val="007C0C7C"/>
    <w:rsid w:val="007D0CAE"/>
    <w:rsid w:val="008242DB"/>
    <w:rsid w:val="00845CDE"/>
    <w:rsid w:val="00861A9B"/>
    <w:rsid w:val="0087020E"/>
    <w:rsid w:val="00895DDF"/>
    <w:rsid w:val="008D3621"/>
    <w:rsid w:val="008D6B5C"/>
    <w:rsid w:val="008F52F1"/>
    <w:rsid w:val="0094724A"/>
    <w:rsid w:val="00955F59"/>
    <w:rsid w:val="00984E23"/>
    <w:rsid w:val="009B103B"/>
    <w:rsid w:val="009B7788"/>
    <w:rsid w:val="00A366F2"/>
    <w:rsid w:val="00AC7178"/>
    <w:rsid w:val="00B72690"/>
    <w:rsid w:val="00B73173"/>
    <w:rsid w:val="00B75CE9"/>
    <w:rsid w:val="00BC7932"/>
    <w:rsid w:val="00BE07AF"/>
    <w:rsid w:val="00BE372D"/>
    <w:rsid w:val="00C060BC"/>
    <w:rsid w:val="00C11B83"/>
    <w:rsid w:val="00C41C44"/>
    <w:rsid w:val="00C542D3"/>
    <w:rsid w:val="00D0070B"/>
    <w:rsid w:val="00D03D23"/>
    <w:rsid w:val="00D23722"/>
    <w:rsid w:val="00D35E58"/>
    <w:rsid w:val="00D36962"/>
    <w:rsid w:val="00D46E03"/>
    <w:rsid w:val="00D54B37"/>
    <w:rsid w:val="00DE48C6"/>
    <w:rsid w:val="00E01821"/>
    <w:rsid w:val="00E06D09"/>
    <w:rsid w:val="00E22EB1"/>
    <w:rsid w:val="00E56DFF"/>
    <w:rsid w:val="00F11CEA"/>
    <w:rsid w:val="00F660F9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57821BD-4921-41ED-8E6F-51C79BEE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B83"/>
  </w:style>
  <w:style w:type="paragraph" w:styleId="Pidipagina">
    <w:name w:val="footer"/>
    <w:basedOn w:val="Normale"/>
    <w:link w:val="PidipaginaCarattere"/>
    <w:uiPriority w:val="99"/>
    <w:unhideWhenUsed/>
    <w:rsid w:val="00C11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B83"/>
  </w:style>
  <w:style w:type="character" w:styleId="Collegamentoipertestuale">
    <w:name w:val="Hyperlink"/>
    <w:basedOn w:val="Carpredefinitoparagrafo"/>
    <w:uiPriority w:val="99"/>
    <w:unhideWhenUsed/>
    <w:rsid w:val="009B103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B1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E5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agenerics.com/images/Website/GfK_Final_Report-_Factors_Supporting_a_Sustainable_European_Biosimilar_Medicines_Market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 International asu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Chiara Longhi</cp:lastModifiedBy>
  <cp:revision>117</cp:revision>
  <dcterms:created xsi:type="dcterms:W3CDTF">2014-10-02T15:50:00Z</dcterms:created>
  <dcterms:modified xsi:type="dcterms:W3CDTF">2014-11-11T10:26:00Z</dcterms:modified>
</cp:coreProperties>
</file>