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85" w:rsidRDefault="00434D85" w:rsidP="00434D85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>
            <wp:extent cx="4442460" cy="793750"/>
            <wp:effectExtent l="19050" t="0" r="0" b="0"/>
            <wp:docPr id="1" name="Immagine 1" descr="http://newsletter.vrelations.it/userfiles/assogenerici%20logo(9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letter.vrelations.it/userfiles/assogenerici%20logo(9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85" w:rsidRDefault="00434D85" w:rsidP="00434D85">
      <w:pPr>
        <w:jc w:val="both"/>
        <w:rPr>
          <w:rFonts w:ascii="Arial" w:hAnsi="Arial" w:cs="Arial"/>
          <w:b/>
          <w:bCs/>
        </w:rPr>
      </w:pPr>
    </w:p>
    <w:p w:rsidR="00434D85" w:rsidRPr="00434D85" w:rsidRDefault="00434D85" w:rsidP="00434D85">
      <w:pPr>
        <w:jc w:val="both"/>
        <w:rPr>
          <w:rFonts w:ascii="Arial" w:hAnsi="Arial" w:cs="Arial"/>
          <w:b/>
          <w:bCs/>
        </w:rPr>
      </w:pPr>
    </w:p>
    <w:p w:rsidR="00434D85" w:rsidRPr="00434D85" w:rsidRDefault="00434D85" w:rsidP="00434D85">
      <w:pPr>
        <w:jc w:val="center"/>
        <w:rPr>
          <w:rStyle w:val="Enfasicorsivo"/>
          <w:rFonts w:ascii="Arial" w:hAnsi="Arial" w:cs="Arial"/>
          <w:u w:val="single"/>
        </w:rPr>
      </w:pPr>
      <w:r w:rsidRPr="00434D85">
        <w:rPr>
          <w:rStyle w:val="Enfasicorsivo"/>
          <w:rFonts w:ascii="Arial" w:hAnsi="Arial" w:cs="Arial"/>
          <w:u w:val="single"/>
        </w:rPr>
        <w:t>Comunicato stampa</w:t>
      </w:r>
    </w:p>
    <w:p w:rsidR="00434D85" w:rsidRPr="00434D85" w:rsidRDefault="00434D85" w:rsidP="00434D85">
      <w:pPr>
        <w:jc w:val="center"/>
        <w:rPr>
          <w:rStyle w:val="Enfasicorsivo"/>
          <w:rFonts w:ascii="Arial" w:hAnsi="Arial" w:cs="Arial"/>
          <w:u w:val="single"/>
        </w:rPr>
      </w:pPr>
    </w:p>
    <w:p w:rsidR="00434D85" w:rsidRPr="00434D85" w:rsidRDefault="00434D85" w:rsidP="00434D85">
      <w:pPr>
        <w:jc w:val="center"/>
        <w:rPr>
          <w:rStyle w:val="Enfasicorsivo"/>
          <w:rFonts w:ascii="Arial" w:hAnsi="Arial" w:cs="Arial"/>
          <w:u w:val="single"/>
        </w:rPr>
      </w:pPr>
    </w:p>
    <w:p w:rsidR="00434D85" w:rsidRPr="00434D85" w:rsidRDefault="00434D85" w:rsidP="00434D85">
      <w:pPr>
        <w:jc w:val="center"/>
        <w:rPr>
          <w:rStyle w:val="Enfasicorsivo"/>
          <w:rFonts w:ascii="Arial" w:hAnsi="Arial" w:cs="Arial"/>
          <w:u w:val="single"/>
        </w:rPr>
      </w:pPr>
    </w:p>
    <w:p w:rsidR="002314DE" w:rsidRPr="002314DE" w:rsidRDefault="002314DE" w:rsidP="002314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14DE">
        <w:rPr>
          <w:rFonts w:ascii="Arial" w:hAnsi="Arial" w:cs="Arial"/>
          <w:b/>
          <w:bCs/>
          <w:sz w:val="32"/>
          <w:szCs w:val="32"/>
        </w:rPr>
        <w:t>Equivalenti leva fondamentale per il risparmio,</w:t>
      </w:r>
    </w:p>
    <w:p w:rsidR="002314DE" w:rsidRPr="002314DE" w:rsidRDefault="002314DE" w:rsidP="002314D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14DE">
        <w:rPr>
          <w:rFonts w:ascii="Arial" w:hAnsi="Arial" w:cs="Arial"/>
          <w:b/>
          <w:bCs/>
          <w:sz w:val="32"/>
          <w:szCs w:val="32"/>
        </w:rPr>
        <w:t xml:space="preserve">ma ancora penalizzati dal </w:t>
      </w:r>
      <w:proofErr w:type="spellStart"/>
      <w:r w:rsidRPr="002314DE">
        <w:rPr>
          <w:rFonts w:ascii="Arial" w:hAnsi="Arial" w:cs="Arial"/>
          <w:b/>
          <w:bCs/>
          <w:sz w:val="32"/>
          <w:szCs w:val="32"/>
        </w:rPr>
        <w:t>pay</w:t>
      </w:r>
      <w:proofErr w:type="spellEnd"/>
      <w:r w:rsidRPr="002314DE">
        <w:rPr>
          <w:rFonts w:ascii="Arial" w:hAnsi="Arial" w:cs="Arial"/>
          <w:b/>
          <w:bCs/>
          <w:sz w:val="32"/>
          <w:szCs w:val="32"/>
        </w:rPr>
        <w:t xml:space="preserve"> back</w:t>
      </w:r>
    </w:p>
    <w:p w:rsidR="00434D85" w:rsidRPr="00262070" w:rsidRDefault="00434D85" w:rsidP="00434D8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D85" w:rsidRPr="00262070" w:rsidRDefault="00434D85" w:rsidP="00122298">
      <w:pPr>
        <w:jc w:val="center"/>
        <w:rPr>
          <w:rFonts w:ascii="Arial" w:hAnsi="Arial" w:cs="Arial"/>
          <w:sz w:val="32"/>
          <w:szCs w:val="32"/>
        </w:rPr>
      </w:pPr>
    </w:p>
    <w:p w:rsidR="002314DE" w:rsidRPr="002314DE" w:rsidRDefault="002314DE" w:rsidP="002314DE">
      <w:pPr>
        <w:jc w:val="both"/>
        <w:rPr>
          <w:rFonts w:ascii="Arial" w:hAnsi="Arial" w:cs="Arial"/>
          <w:i/>
          <w:iCs/>
        </w:rPr>
      </w:pPr>
      <w:r w:rsidRPr="002314DE">
        <w:rPr>
          <w:rFonts w:ascii="Arial" w:hAnsi="Arial" w:cs="Arial"/>
          <w:i/>
          <w:iCs/>
        </w:rPr>
        <w:t>La relazione annuale della Corte dei Conti conferma la centralità del generico nella riduzione della spesa farmaceutica convenzionata, ma permangono i fattori che impediscono al settore di esprimere tutte le sue potenzialità</w:t>
      </w:r>
    </w:p>
    <w:p w:rsidR="00434D85" w:rsidRPr="00434D85" w:rsidRDefault="00434D85" w:rsidP="00434D85">
      <w:pPr>
        <w:jc w:val="both"/>
        <w:rPr>
          <w:rFonts w:ascii="Arial" w:hAnsi="Arial" w:cs="Arial"/>
        </w:rPr>
      </w:pPr>
      <w:r w:rsidRPr="00434D85">
        <w:rPr>
          <w:rFonts w:ascii="Arial" w:hAnsi="Arial" w:cs="Arial"/>
        </w:rPr>
        <w:t> </w:t>
      </w:r>
    </w:p>
    <w:p w:rsidR="009C66A1" w:rsidRDefault="009C66A1" w:rsidP="009C66A1">
      <w:pPr>
        <w:jc w:val="both"/>
        <w:rPr>
          <w:rFonts w:ascii="Arial" w:hAnsi="Arial" w:cs="Arial"/>
          <w:b/>
        </w:rPr>
      </w:pPr>
    </w:p>
    <w:p w:rsidR="002314DE" w:rsidRPr="002314DE" w:rsidRDefault="009C66A1" w:rsidP="002314DE">
      <w:pPr>
        <w:jc w:val="both"/>
        <w:rPr>
          <w:rFonts w:ascii="Arial" w:hAnsi="Arial" w:cs="Arial"/>
        </w:rPr>
      </w:pPr>
      <w:r w:rsidRPr="009C66A1">
        <w:rPr>
          <w:rFonts w:ascii="Arial" w:hAnsi="Arial" w:cs="Arial"/>
          <w:b/>
        </w:rPr>
        <w:t xml:space="preserve">Roma, </w:t>
      </w:r>
      <w:r w:rsidR="002314DE">
        <w:rPr>
          <w:rFonts w:ascii="Arial" w:hAnsi="Arial" w:cs="Arial"/>
          <w:b/>
        </w:rPr>
        <w:t>4 giugno</w:t>
      </w:r>
      <w:r w:rsidRPr="009C66A1">
        <w:rPr>
          <w:rFonts w:ascii="Arial" w:hAnsi="Arial" w:cs="Arial"/>
          <w:b/>
        </w:rPr>
        <w:t xml:space="preserve"> 2014</w:t>
      </w:r>
      <w:r>
        <w:rPr>
          <w:rFonts w:ascii="Arial" w:hAnsi="Arial" w:cs="Arial"/>
        </w:rPr>
        <w:t xml:space="preserve"> - </w:t>
      </w:r>
      <w:r w:rsidR="002314DE" w:rsidRPr="002314DE">
        <w:rPr>
          <w:rFonts w:ascii="Arial" w:hAnsi="Arial" w:cs="Arial"/>
        </w:rPr>
        <w:t xml:space="preserve">“Anche l’ultima relazione della Corte dei Conti conferma che tra i pochi capitoli della spesa pubblica in costante riduzione vi è quello relativo alla farmaceutica convenzionata, che anche nel 2013 ha fatto registrare una riduzione del 3,4%, e non certo perché i cittadini abbiano smesso di curarsi. Molti sono i fattori che contribuiscono a questo risultato” dice il presidente di AssoGenerici Enrique Häusermann “ma quello fondamentale, come ha ricordato anche questa volta la magistratura contabile, è la presenza sul mercato del generico che, da sola, ha determinato una fortissima riduzione   della spesa”.  Ciononostante, nel nostro paese i produttori  di farmaci equivalenti sono tenuti al pagamento del </w:t>
      </w:r>
      <w:proofErr w:type="spellStart"/>
      <w:r w:rsidR="002314DE" w:rsidRPr="002314DE">
        <w:rPr>
          <w:rFonts w:ascii="Arial" w:hAnsi="Arial" w:cs="Arial"/>
        </w:rPr>
        <w:t>pay-back</w:t>
      </w:r>
      <w:proofErr w:type="spellEnd"/>
      <w:r w:rsidR="002314DE" w:rsidRPr="002314DE">
        <w:rPr>
          <w:rFonts w:ascii="Arial" w:hAnsi="Arial" w:cs="Arial"/>
        </w:rPr>
        <w:t xml:space="preserve"> in caso di superamento del tetto di spesa programmato come i produttori di </w:t>
      </w:r>
      <w:proofErr w:type="spellStart"/>
      <w:r w:rsidR="002314DE" w:rsidRPr="002314DE">
        <w:rPr>
          <w:rFonts w:ascii="Arial" w:hAnsi="Arial" w:cs="Arial"/>
        </w:rPr>
        <w:t>branded</w:t>
      </w:r>
      <w:proofErr w:type="spellEnd"/>
      <w:r w:rsidR="002314DE" w:rsidRPr="002314DE">
        <w:rPr>
          <w:rFonts w:ascii="Arial" w:hAnsi="Arial" w:cs="Arial"/>
        </w:rPr>
        <w:t xml:space="preserve"> “e questo penalizza ingiustamente tutto un settore che è invece all’origine del risparmio”. E’ vero che quella che resta fuori controllo è la spesa farmaceutica ospedaliera, “ma non si può ignorare che il tetto è cronicamente sottostimato, e anche in questo caso esigere il </w:t>
      </w:r>
      <w:proofErr w:type="spellStart"/>
      <w:r w:rsidR="002314DE" w:rsidRPr="002314DE">
        <w:rPr>
          <w:rFonts w:ascii="Arial" w:hAnsi="Arial" w:cs="Arial"/>
        </w:rPr>
        <w:t>pay</w:t>
      </w:r>
      <w:proofErr w:type="spellEnd"/>
      <w:r w:rsidR="002314DE" w:rsidRPr="002314DE">
        <w:rPr>
          <w:rFonts w:ascii="Arial" w:hAnsi="Arial" w:cs="Arial"/>
        </w:rPr>
        <w:t xml:space="preserve"> back da chi commercializza farmaci a brevetto scaduto, intrinsecamente meno costosi, oltretutto attraverso il meccanismo delle gare, che prevede l’aggiudicazione al prezzo più basso, è un controsenso: questi farmaci devono essere esclusi dal sistema del </w:t>
      </w:r>
      <w:proofErr w:type="spellStart"/>
      <w:r w:rsidR="002314DE" w:rsidRPr="002314DE">
        <w:rPr>
          <w:rFonts w:ascii="Arial" w:hAnsi="Arial" w:cs="Arial"/>
        </w:rPr>
        <w:t>payback</w:t>
      </w:r>
      <w:proofErr w:type="spellEnd"/>
      <w:r w:rsidR="002314DE" w:rsidRPr="002314DE">
        <w:rPr>
          <w:rFonts w:ascii="Arial" w:hAnsi="Arial" w:cs="Arial"/>
        </w:rPr>
        <w:t xml:space="preserve"> applicato alla spesa ospedaliera. Se si vuole diminuire ulteriormente la spesa, facendo leva sul farmaco equivalente” conclude Enrique Häusermann, si dovrebbe eliminare dalla normativa italiana il meccanismo del </w:t>
      </w:r>
      <w:proofErr w:type="spellStart"/>
      <w:r w:rsidR="002314DE" w:rsidRPr="002314DE">
        <w:rPr>
          <w:rFonts w:ascii="Arial" w:hAnsi="Arial" w:cs="Arial"/>
        </w:rPr>
        <w:t>patent</w:t>
      </w:r>
      <w:proofErr w:type="spellEnd"/>
      <w:r w:rsidR="002314DE" w:rsidRPr="002314DE">
        <w:rPr>
          <w:rFonts w:ascii="Arial" w:hAnsi="Arial" w:cs="Arial"/>
        </w:rPr>
        <w:t xml:space="preserve"> </w:t>
      </w:r>
      <w:proofErr w:type="spellStart"/>
      <w:r w:rsidR="002314DE" w:rsidRPr="002314DE">
        <w:rPr>
          <w:rFonts w:ascii="Arial" w:hAnsi="Arial" w:cs="Arial"/>
        </w:rPr>
        <w:t>linkage</w:t>
      </w:r>
      <w:proofErr w:type="spellEnd"/>
      <w:r w:rsidR="002314DE" w:rsidRPr="002314DE">
        <w:rPr>
          <w:rFonts w:ascii="Arial" w:hAnsi="Arial" w:cs="Arial"/>
        </w:rPr>
        <w:t>, che ritarda l’ammissione alla rimborsabilità dei nuovi farmaci equivalenti, con un mancato risparmio pari a tre milioni di euro al giorno. Un meccanismo, peraltro, che ormai è presente soltanto in Italia, è stato più volte dichiarato illegittimo dalla Commissione Europea e dal Parlamento Europeo,  che ha anche votato una proposta di direttiva che ne proibisce l’introduzione nelle normative nazionali”.</w:t>
      </w:r>
    </w:p>
    <w:p w:rsidR="00C5718E" w:rsidRDefault="00C5718E" w:rsidP="009C66A1">
      <w:pPr>
        <w:jc w:val="both"/>
        <w:rPr>
          <w:rFonts w:ascii="Arial" w:hAnsi="Arial" w:cs="Arial"/>
        </w:rPr>
      </w:pPr>
    </w:p>
    <w:p w:rsidR="00C5718E" w:rsidRDefault="00C5718E" w:rsidP="009C66A1">
      <w:pPr>
        <w:jc w:val="both"/>
        <w:rPr>
          <w:rFonts w:ascii="Arial" w:hAnsi="Arial" w:cs="Arial"/>
        </w:rPr>
      </w:pPr>
    </w:p>
    <w:p w:rsidR="00752A83" w:rsidRDefault="00752A83" w:rsidP="00347CBD">
      <w:pPr>
        <w:pStyle w:val="NormaleWeb"/>
        <w:rPr>
          <w:rFonts w:ascii="Arial" w:hAnsi="Arial" w:cs="Arial"/>
          <w:sz w:val="22"/>
          <w:szCs w:val="22"/>
        </w:rPr>
      </w:pPr>
    </w:p>
    <w:p w:rsidR="006F1FE4" w:rsidRDefault="006F1FE4" w:rsidP="00347CBD">
      <w:pPr>
        <w:pStyle w:val="NormaleWeb"/>
        <w:rPr>
          <w:rFonts w:ascii="Arial" w:hAnsi="Arial" w:cs="Arial"/>
          <w:sz w:val="22"/>
          <w:szCs w:val="22"/>
        </w:rPr>
      </w:pPr>
    </w:p>
    <w:p w:rsidR="00C417B2" w:rsidRPr="00434D85" w:rsidRDefault="00347CBD" w:rsidP="002314DE">
      <w:pPr>
        <w:pStyle w:val="NormaleWeb"/>
      </w:pPr>
      <w:r w:rsidRPr="00347CBD">
        <w:rPr>
          <w:rFonts w:ascii="Arial" w:hAnsi="Arial" w:cs="Arial"/>
          <w:sz w:val="22"/>
          <w:szCs w:val="22"/>
        </w:rPr>
        <w:t>Per ulteriori informazioni:</w:t>
      </w:r>
      <w:r w:rsidRPr="00347CBD">
        <w:rPr>
          <w:rFonts w:ascii="Arial" w:hAnsi="Arial" w:cs="Arial"/>
          <w:sz w:val="22"/>
          <w:szCs w:val="22"/>
        </w:rPr>
        <w:br/>
      </w:r>
      <w:r w:rsidRPr="00347CB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69975" cy="120650"/>
            <wp:effectExtent l="19050" t="0" r="0" b="0"/>
            <wp:docPr id="4" name="Immagine 4" descr="http://newsletter.vrelations.it/userfiles/LOGOVR(1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letter.vrelations.it/userfiles/LOGOVR(19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CBD">
        <w:rPr>
          <w:rFonts w:ascii="Arial" w:hAnsi="Arial" w:cs="Arial"/>
          <w:sz w:val="22"/>
          <w:szCs w:val="22"/>
        </w:rPr>
        <w:br/>
        <w:t>Ufficio Stampa AssoGenerici</w:t>
      </w:r>
      <w:r w:rsidRPr="00347CBD">
        <w:rPr>
          <w:rFonts w:ascii="Arial" w:hAnsi="Arial" w:cs="Arial"/>
          <w:sz w:val="22"/>
          <w:szCs w:val="22"/>
        </w:rPr>
        <w:br/>
        <w:t>tel. 02/20.24.13.57</w:t>
      </w:r>
      <w:r w:rsidRPr="00347CBD">
        <w:rPr>
          <w:rFonts w:ascii="Arial" w:hAnsi="Arial" w:cs="Arial"/>
          <w:sz w:val="22"/>
          <w:szCs w:val="22"/>
        </w:rPr>
        <w:br/>
        <w:t>Massimo Cherubini - cellulare 335/82.31.700</w:t>
      </w:r>
      <w:r w:rsidRPr="00347CBD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Pr="00347CBD">
          <w:rPr>
            <w:rStyle w:val="Collegamentoipertestuale"/>
            <w:rFonts w:ascii="Arial" w:hAnsi="Arial" w:cs="Arial"/>
            <w:sz w:val="22"/>
            <w:szCs w:val="22"/>
          </w:rPr>
          <w:t>m.cherubini@vrelations.it</w:t>
        </w:r>
      </w:hyperlink>
    </w:p>
    <w:sectPr w:rsidR="00C417B2" w:rsidRPr="00434D85" w:rsidSect="00C41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34D85"/>
    <w:rsid w:val="00122298"/>
    <w:rsid w:val="002314DE"/>
    <w:rsid w:val="00262070"/>
    <w:rsid w:val="0029460F"/>
    <w:rsid w:val="00347CBD"/>
    <w:rsid w:val="00434D85"/>
    <w:rsid w:val="005C31F2"/>
    <w:rsid w:val="006F1FE4"/>
    <w:rsid w:val="00752A83"/>
    <w:rsid w:val="009C66A1"/>
    <w:rsid w:val="00AE31DF"/>
    <w:rsid w:val="00B3057E"/>
    <w:rsid w:val="00C417B2"/>
    <w:rsid w:val="00C5718E"/>
    <w:rsid w:val="00DA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D85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D85"/>
    <w:rPr>
      <w:rFonts w:ascii="Tahoma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34D8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347CB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47C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cherubini@vrelations.it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2014-06-04T15:44:00Z</dcterms:created>
  <dcterms:modified xsi:type="dcterms:W3CDTF">2014-06-04T15:44:00Z</dcterms:modified>
</cp:coreProperties>
</file>