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9E" w:rsidRDefault="006A0C9E" w:rsidP="006A0C9E">
      <w:pPr>
        <w:rPr>
          <w:rFonts w:eastAsia="Times New Roman"/>
        </w:rPr>
      </w:pPr>
    </w:p>
    <w:p w:rsidR="006A0C9E" w:rsidRDefault="006A0C9E" w:rsidP="006A0C9E">
      <w:pPr>
        <w:pStyle w:val="NormaleWeb"/>
        <w:jc w:val="center"/>
      </w:pPr>
      <w:r>
        <w:rPr>
          <w:noProof/>
        </w:rPr>
        <w:drawing>
          <wp:inline distT="0" distB="0" distL="0" distR="0">
            <wp:extent cx="4079240" cy="803275"/>
            <wp:effectExtent l="19050" t="0" r="0" b="0"/>
            <wp:docPr id="1" name="Immagine 1" descr="http://newsletter.vrelations.it/userfiles/a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9E" w:rsidRPr="00B1268E" w:rsidRDefault="006A0C9E" w:rsidP="00B1268E">
      <w:pPr>
        <w:jc w:val="center"/>
        <w:rPr>
          <w:rStyle w:val="Enfasicorsivo"/>
          <w:rFonts w:ascii="Arial" w:hAnsi="Arial" w:cs="Arial"/>
          <w:i w:val="0"/>
          <w:sz w:val="22"/>
          <w:szCs w:val="22"/>
          <w:u w:val="single"/>
        </w:rPr>
      </w:pPr>
      <w:r w:rsidRPr="00B1268E">
        <w:rPr>
          <w:rStyle w:val="Enfasicorsivo"/>
          <w:rFonts w:ascii="Arial" w:hAnsi="Arial" w:cs="Arial"/>
          <w:sz w:val="22"/>
          <w:szCs w:val="22"/>
          <w:u w:val="single"/>
        </w:rPr>
        <w:t>COMUNICATO STAMPA</w:t>
      </w:r>
      <w:r w:rsidRPr="00B1268E">
        <w:rPr>
          <w:rStyle w:val="Enfasicorsivo"/>
          <w:rFonts w:ascii="Arial" w:hAnsi="Arial" w:cs="Arial"/>
          <w:i w:val="0"/>
          <w:sz w:val="22"/>
          <w:szCs w:val="22"/>
          <w:u w:val="single"/>
        </w:rPr>
        <w:t> </w:t>
      </w:r>
    </w:p>
    <w:p w:rsidR="006A0C9E" w:rsidRPr="006A0C9E" w:rsidRDefault="006A0C9E" w:rsidP="006A0C9E">
      <w:pPr>
        <w:pStyle w:val="NormaleWeb"/>
        <w:jc w:val="center"/>
        <w:rPr>
          <w:rFonts w:asciiTheme="minorHAnsi" w:hAnsiTheme="minorHAnsi"/>
          <w:sz w:val="36"/>
          <w:szCs w:val="36"/>
        </w:rPr>
      </w:pPr>
      <w:r w:rsidRPr="006A0C9E">
        <w:rPr>
          <w:rFonts w:asciiTheme="minorHAnsi" w:hAnsiTheme="minorHAnsi"/>
          <w:sz w:val="36"/>
          <w:szCs w:val="36"/>
        </w:rPr>
        <w:t> </w:t>
      </w:r>
    </w:p>
    <w:p w:rsidR="006A0C9E" w:rsidRPr="00B1268E" w:rsidRDefault="006A0C9E" w:rsidP="00B1268E">
      <w:pPr>
        <w:jc w:val="center"/>
        <w:rPr>
          <w:rFonts w:ascii="Arial" w:hAnsi="Arial" w:cs="Arial"/>
          <w:b/>
          <w:sz w:val="30"/>
          <w:szCs w:val="30"/>
        </w:rPr>
      </w:pPr>
      <w:r w:rsidRPr="00B1268E">
        <w:rPr>
          <w:rFonts w:ascii="Arial" w:hAnsi="Arial"/>
          <w:bCs/>
          <w:sz w:val="30"/>
          <w:szCs w:val="30"/>
        </w:rPr>
        <w:t>Equivalenti e biosimilari, un bilancio positivo</w:t>
      </w:r>
    </w:p>
    <w:p w:rsidR="006A0C9E" w:rsidRPr="00B1268E" w:rsidRDefault="006A0C9E" w:rsidP="00B1268E">
      <w:pPr>
        <w:jc w:val="center"/>
        <w:rPr>
          <w:rFonts w:ascii="Arial" w:hAnsi="Arial" w:cs="Arial"/>
          <w:b/>
          <w:sz w:val="30"/>
          <w:szCs w:val="30"/>
        </w:rPr>
      </w:pPr>
      <w:r w:rsidRPr="00B1268E">
        <w:rPr>
          <w:rFonts w:ascii="Arial" w:hAnsi="Arial"/>
          <w:bCs/>
          <w:sz w:val="30"/>
          <w:szCs w:val="30"/>
        </w:rPr>
        <w:t>che fa bene al Servizio sanitario</w:t>
      </w:r>
    </w:p>
    <w:p w:rsidR="006A0C9E" w:rsidRDefault="006A0C9E" w:rsidP="006A0C9E">
      <w:pPr>
        <w:pStyle w:val="NormaleWeb"/>
        <w:jc w:val="center"/>
      </w:pPr>
    </w:p>
    <w:p w:rsidR="006A0C9E" w:rsidRPr="00B1268E" w:rsidRDefault="006A0C9E" w:rsidP="006A0C9E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B1268E">
        <w:rPr>
          <w:rStyle w:val="Enfasicorsivo"/>
          <w:rFonts w:ascii="Arial" w:hAnsi="Arial" w:cs="Arial"/>
          <w:sz w:val="22"/>
          <w:szCs w:val="22"/>
        </w:rPr>
        <w:t xml:space="preserve">Si tiene oggi a Roma il Convegno nazionale dell’associazione delle aziende produttrici di equivalenti e biosimilari. Il comparto ha generato dal 2000 a oggi 4 miliardi di euro di risparmi per le casse dello Stato. “Diamo atto al Ministro </w:t>
      </w:r>
      <w:proofErr w:type="spellStart"/>
      <w:r w:rsidRPr="00B1268E">
        <w:rPr>
          <w:rStyle w:val="Enfasicorsivo"/>
          <w:rFonts w:ascii="Arial" w:hAnsi="Arial" w:cs="Arial"/>
          <w:sz w:val="22"/>
          <w:szCs w:val="22"/>
        </w:rPr>
        <w:t>Lorenzin</w:t>
      </w:r>
      <w:proofErr w:type="spellEnd"/>
      <w:r w:rsidRPr="00B1268E">
        <w:rPr>
          <w:rStyle w:val="Enfasicorsivo"/>
          <w:rFonts w:ascii="Arial" w:hAnsi="Arial" w:cs="Arial"/>
          <w:sz w:val="22"/>
          <w:szCs w:val="22"/>
        </w:rPr>
        <w:t xml:space="preserve"> di aver attuato una politica positiva per il comparto” ha detto il presidente Enrique </w:t>
      </w:r>
      <w:proofErr w:type="spellStart"/>
      <w:r w:rsidRPr="00B1268E">
        <w:rPr>
          <w:rStyle w:val="Enfasicorsivo"/>
          <w:rFonts w:ascii="Arial" w:hAnsi="Arial" w:cs="Arial"/>
          <w:sz w:val="22"/>
          <w:szCs w:val="22"/>
        </w:rPr>
        <w:t>Häusermann</w:t>
      </w:r>
      <w:proofErr w:type="spellEnd"/>
      <w:r w:rsidRPr="00B1268E">
        <w:rPr>
          <w:rStyle w:val="Enfasicorsivo"/>
          <w:rFonts w:ascii="Arial" w:hAnsi="Arial" w:cs="Arial"/>
          <w:sz w:val="22"/>
          <w:szCs w:val="22"/>
        </w:rPr>
        <w:t xml:space="preserve">. “Purtroppo il sistema nel suo complesso presenta ancora diverse incongruenze, dal sistema del </w:t>
      </w:r>
      <w:proofErr w:type="spellStart"/>
      <w:r w:rsidRPr="00B1268E">
        <w:rPr>
          <w:rStyle w:val="Enfasicorsivo"/>
          <w:rFonts w:ascii="Arial" w:hAnsi="Arial" w:cs="Arial"/>
          <w:sz w:val="22"/>
          <w:szCs w:val="22"/>
        </w:rPr>
        <w:t>pay-back</w:t>
      </w:r>
      <w:proofErr w:type="spellEnd"/>
      <w:r w:rsidRPr="00B1268E">
        <w:rPr>
          <w:rStyle w:val="Enfasicorsivo"/>
          <w:rFonts w:ascii="Arial" w:hAnsi="Arial" w:cs="Arial"/>
          <w:sz w:val="22"/>
          <w:szCs w:val="22"/>
        </w:rPr>
        <w:t xml:space="preserve"> alla burocrazia”.  E i risparmi generati devono servire a finanziare l’innovazione</w:t>
      </w:r>
    </w:p>
    <w:p w:rsidR="006A0C9E" w:rsidRPr="00B1268E" w:rsidRDefault="006A0C9E" w:rsidP="006A0C9E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B1268E">
        <w:rPr>
          <w:rFonts w:ascii="Arial" w:hAnsi="Arial" w:cs="Arial"/>
          <w:sz w:val="22"/>
          <w:szCs w:val="22"/>
        </w:rPr>
        <w:t> </w:t>
      </w:r>
    </w:p>
    <w:p w:rsidR="00035457" w:rsidRPr="00B1268E" w:rsidRDefault="006A0C9E" w:rsidP="006A0C9E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B1268E">
        <w:rPr>
          <w:rStyle w:val="Enfasigrassetto"/>
          <w:rFonts w:ascii="Arial" w:hAnsi="Arial" w:cs="Arial"/>
          <w:sz w:val="22"/>
          <w:szCs w:val="22"/>
        </w:rPr>
        <w:t>Roma, 17 giugno 2014</w:t>
      </w:r>
      <w:r w:rsidR="00035457" w:rsidRPr="00B1268E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Pr="00B1268E">
        <w:rPr>
          <w:rStyle w:val="Enfasigrassetto"/>
          <w:rFonts w:ascii="Arial" w:hAnsi="Arial" w:cs="Arial"/>
          <w:sz w:val="22"/>
          <w:szCs w:val="22"/>
        </w:rPr>
        <w:t xml:space="preserve">- </w:t>
      </w:r>
      <w:r w:rsidRPr="00B1268E">
        <w:rPr>
          <w:rFonts w:ascii="Arial" w:hAnsi="Arial" w:cs="Arial"/>
          <w:sz w:val="22"/>
          <w:szCs w:val="22"/>
        </w:rPr>
        <w:t xml:space="preserve">Un bilancio positivo che si traduce in un vantaggio per il Servizio Sanitario Nazionale, come riconosciuto recentemente anche dall’Indagine conoscitiva della Camera . E’ quello illustrato dal </w:t>
      </w:r>
      <w:r w:rsidRPr="00B1268E">
        <w:rPr>
          <w:rStyle w:val="Enfasigrassetto"/>
          <w:rFonts w:ascii="Arial" w:hAnsi="Arial" w:cs="Arial"/>
          <w:sz w:val="22"/>
          <w:szCs w:val="22"/>
        </w:rPr>
        <w:t xml:space="preserve">presidente di </w:t>
      </w:r>
      <w:proofErr w:type="spellStart"/>
      <w:r w:rsidRPr="00B1268E">
        <w:rPr>
          <w:rStyle w:val="Enfasigrassetto"/>
          <w:rFonts w:ascii="Arial" w:hAnsi="Arial" w:cs="Arial"/>
          <w:sz w:val="22"/>
          <w:szCs w:val="22"/>
        </w:rPr>
        <w:t>AssoGenerici</w:t>
      </w:r>
      <w:proofErr w:type="spellEnd"/>
      <w:r w:rsidRPr="00B1268E">
        <w:rPr>
          <w:rStyle w:val="Enfasigrassetto"/>
          <w:rFonts w:ascii="Arial" w:hAnsi="Arial" w:cs="Arial"/>
          <w:sz w:val="22"/>
          <w:szCs w:val="22"/>
        </w:rPr>
        <w:t xml:space="preserve">, Enrique </w:t>
      </w:r>
      <w:proofErr w:type="spellStart"/>
      <w:r w:rsidRPr="00B1268E">
        <w:rPr>
          <w:rStyle w:val="Enfasigrassetto"/>
          <w:rFonts w:ascii="Arial" w:hAnsi="Arial" w:cs="Arial"/>
          <w:sz w:val="22"/>
          <w:szCs w:val="22"/>
        </w:rPr>
        <w:t>Häusermann</w:t>
      </w:r>
      <w:proofErr w:type="spellEnd"/>
      <w:r w:rsidRPr="00B1268E">
        <w:rPr>
          <w:rStyle w:val="Enfasigrassetto"/>
          <w:rFonts w:ascii="Arial" w:hAnsi="Arial" w:cs="Arial"/>
          <w:sz w:val="22"/>
          <w:szCs w:val="22"/>
        </w:rPr>
        <w:t>,</w:t>
      </w:r>
      <w:r w:rsidRPr="00B1268E">
        <w:rPr>
          <w:rFonts w:ascii="Arial" w:hAnsi="Arial" w:cs="Arial"/>
          <w:sz w:val="22"/>
          <w:szCs w:val="22"/>
        </w:rPr>
        <w:t xml:space="preserve"> oggi a Roma, in apertura del V Convegno dell’associazione, che raggruppa i produttori di farmaci equivalenti e biosimilari. “Equivalenti e biosimilari hanno prodotto risparmi per oltre 4 miliardi di euro dal 2000 ad oggi” ha detto </w:t>
      </w:r>
      <w:proofErr w:type="spellStart"/>
      <w:r w:rsidRPr="00B1268E">
        <w:rPr>
          <w:rFonts w:ascii="Arial" w:hAnsi="Arial" w:cs="Arial"/>
          <w:sz w:val="22"/>
          <w:szCs w:val="22"/>
        </w:rPr>
        <w:t>Häusermann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 ma ha ricordato che “se i risparmi  generati non rimangono nel settore, non servono ad ampliare l’accesso alle cure dei pazienti o a coprire i costi dei nuovi farmaci che arriveranno sul mercato, nessuno sarà realmente incentivato ad usare i generici, e ancor più i biosimilari, per avere </w:t>
      </w:r>
      <w:r w:rsidR="00035457" w:rsidRPr="00B1268E">
        <w:rPr>
          <w:rFonts w:ascii="Arial" w:hAnsi="Arial" w:cs="Arial"/>
          <w:sz w:val="22"/>
          <w:szCs w:val="22"/>
        </w:rPr>
        <w:t>a disposizione nuove risorse”.</w:t>
      </w:r>
    </w:p>
    <w:p w:rsidR="006A0C9E" w:rsidRPr="00B1268E" w:rsidRDefault="006A0C9E" w:rsidP="006A0C9E">
      <w:pPr>
        <w:pStyle w:val="NormaleWeb"/>
        <w:jc w:val="both"/>
        <w:rPr>
          <w:rFonts w:ascii="Arial" w:hAnsi="Arial" w:cs="Arial"/>
          <w:sz w:val="22"/>
          <w:szCs w:val="22"/>
        </w:rPr>
      </w:pPr>
      <w:proofErr w:type="spellStart"/>
      <w:r w:rsidRPr="00B1268E">
        <w:rPr>
          <w:rFonts w:ascii="Arial" w:hAnsi="Arial" w:cs="Arial"/>
          <w:sz w:val="22"/>
          <w:szCs w:val="22"/>
        </w:rPr>
        <w:t>AssoGenerici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, dunque, da atto al Ministro della Salute di essersi adoperata a favore di un’evoluzione in senso europeo della spesa farmaceutica nazionale, ma ha dovuto constatare che ancora permangono alcuni ostacoli a una diffusione fisiologica di equivalenti e biosimilari. Il primo è il meccanismo del </w:t>
      </w:r>
      <w:proofErr w:type="spellStart"/>
      <w:r w:rsidRPr="00B1268E">
        <w:rPr>
          <w:rFonts w:ascii="Arial" w:hAnsi="Arial" w:cs="Arial"/>
          <w:sz w:val="22"/>
          <w:szCs w:val="22"/>
        </w:rPr>
        <w:t>payback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 che nel caso delle aziende </w:t>
      </w:r>
      <w:proofErr w:type="spellStart"/>
      <w:r w:rsidRPr="00B1268E">
        <w:rPr>
          <w:rFonts w:ascii="Arial" w:hAnsi="Arial" w:cs="Arial"/>
          <w:sz w:val="22"/>
          <w:szCs w:val="22"/>
        </w:rPr>
        <w:t>genericiste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 assume aspetti paradossali, in particolare nel capitolo della spesa ospedaliera.” Nel canale ospedaliero gli acquisti di farmaci avvengono attraverso il meccanismo delle gare e la responsabilità degli sforamenti è perciò interamente da attribuirsi alle regioni e alla determinazione di un tetto non congruo” ha argomentato </w:t>
      </w:r>
      <w:proofErr w:type="spellStart"/>
      <w:r w:rsidRPr="00B1268E">
        <w:rPr>
          <w:rFonts w:ascii="Arial" w:hAnsi="Arial" w:cs="Arial"/>
          <w:sz w:val="22"/>
          <w:szCs w:val="22"/>
        </w:rPr>
        <w:t>Häusermann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; inoltre le forniture per legge non possono essere interrotte per evitare di sforare i budget assegnati e le  aziende devono restituire somme non ancora incassate visti i cronici ed endemici ritardi nel pagamenti della </w:t>
      </w:r>
      <w:proofErr w:type="spellStart"/>
      <w:r w:rsidRPr="00B1268E">
        <w:rPr>
          <w:rFonts w:ascii="Arial" w:hAnsi="Arial" w:cs="Arial"/>
          <w:sz w:val="22"/>
          <w:szCs w:val="22"/>
        </w:rPr>
        <w:t>PA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. “Questo vale per qualsiasi azienda farmaceutica, ma per quelle </w:t>
      </w:r>
      <w:proofErr w:type="spellStart"/>
      <w:r w:rsidRPr="00B1268E">
        <w:rPr>
          <w:rFonts w:ascii="Arial" w:hAnsi="Arial" w:cs="Arial"/>
          <w:sz w:val="22"/>
          <w:szCs w:val="22"/>
        </w:rPr>
        <w:t>genericiste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 c’è anche un ulteriore paradosso da considerare: mettere un tetto sull’utilizzo dei generici significa mettere un limite al risparmio che il servizio sanitario può conseguire perché è evidente a tutti che se la mia azienda ha raggiunto il limite di budget assegnatole non parteciperà ad ulteriori gare, facendo mancare il meccanismo concorrenziale che contribuisce a far scendere i prezzi”.</w:t>
      </w:r>
    </w:p>
    <w:p w:rsidR="00B1268E" w:rsidRDefault="006A0C9E" w:rsidP="006A0C9E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B1268E">
        <w:rPr>
          <w:rFonts w:ascii="Arial" w:hAnsi="Arial" w:cs="Arial"/>
          <w:sz w:val="22"/>
          <w:szCs w:val="22"/>
        </w:rPr>
        <w:t xml:space="preserve">Ma la relazione del presidente di </w:t>
      </w:r>
      <w:proofErr w:type="spellStart"/>
      <w:r w:rsidRPr="00B1268E">
        <w:rPr>
          <w:rFonts w:ascii="Arial" w:hAnsi="Arial" w:cs="Arial"/>
          <w:sz w:val="22"/>
          <w:szCs w:val="22"/>
        </w:rPr>
        <w:t>AssoGenerici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 ha affrontato anche temi nevralgici che interessano tutta la sanità italiana, a cominciare dalla Riforma del Titolo V e quindi della ridefinizione delle </w:t>
      </w:r>
      <w:r w:rsidRPr="00B1268E">
        <w:rPr>
          <w:rFonts w:ascii="Arial" w:hAnsi="Arial" w:cs="Arial"/>
          <w:sz w:val="22"/>
          <w:szCs w:val="22"/>
        </w:rPr>
        <w:lastRenderedPageBreak/>
        <w:t xml:space="preserve">competenze statali e regionali in materia di tutela della salute,“per garantire pari accesso alle cure e regole uguali su tutto il territorio nazionale. Non è tollerabile che ogni regione abbia proprie regole! Paesi a statuto federale hanno un’unica agenzia che gestisce e governa la sanità”. E accanto a una più efficace organizzazione del federalismo sanitario, è fondamentale ridurre il carico burocratico che grava su tutti i settori produttivi, magari con un approccio innovativo: “Molte leggi di semplificazione si sono susseguite nel corso degli ultimi anni ma troppo spesso l’effetto pratico è stato nullo” ha detto il presidente di </w:t>
      </w:r>
      <w:proofErr w:type="spellStart"/>
      <w:r w:rsidRPr="00B1268E">
        <w:rPr>
          <w:rFonts w:ascii="Arial" w:hAnsi="Arial" w:cs="Arial"/>
          <w:sz w:val="22"/>
          <w:szCs w:val="22"/>
        </w:rPr>
        <w:t>AssoGenerici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 “Perché allora non provare a rovesciare i termini, alleggerendo le amministrazioni da defatiganti procedure </w:t>
      </w:r>
      <w:proofErr w:type="spellStart"/>
      <w:r w:rsidRPr="00B1268E">
        <w:rPr>
          <w:rFonts w:ascii="Arial" w:hAnsi="Arial" w:cs="Arial"/>
          <w:sz w:val="22"/>
          <w:szCs w:val="22"/>
        </w:rPr>
        <w:t>autorizzative</w:t>
      </w:r>
      <w:proofErr w:type="spellEnd"/>
      <w:r w:rsidRPr="00B1268E">
        <w:rPr>
          <w:rFonts w:ascii="Arial" w:hAnsi="Arial" w:cs="Arial"/>
          <w:sz w:val="22"/>
          <w:szCs w:val="22"/>
        </w:rPr>
        <w:t xml:space="preserve"> impegnandole però ben più massicciament</w:t>
      </w:r>
      <w:r w:rsidR="00B1268E">
        <w:rPr>
          <w:rFonts w:ascii="Arial" w:hAnsi="Arial" w:cs="Arial"/>
          <w:sz w:val="22"/>
          <w:szCs w:val="22"/>
        </w:rPr>
        <w:t>e nel momento del controllo?”.</w:t>
      </w:r>
    </w:p>
    <w:p w:rsidR="006A0C9E" w:rsidRPr="00B1268E" w:rsidRDefault="006A0C9E" w:rsidP="006A0C9E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B1268E">
        <w:rPr>
          <w:rFonts w:ascii="Arial" w:hAnsi="Arial" w:cs="Arial"/>
          <w:sz w:val="22"/>
          <w:szCs w:val="22"/>
        </w:rPr>
        <w:t>Infine, una richiesta che guarda al prossimo semestre europeo a guida italiana. “C’è un tema importante, che ci sta a cuore: è la proposta di direttiva europea sulla trasparenza dei criteri di fissazione dei prezzi e del livello di rimborso dei farmaci. Chiediamo al Governo di farsi portavoce per accelerare l’iter di approvazione di questo provvedimento, ricco di elementi di semplificazione e chiarezza importanti per tutto il comparto farmaceutico, non ultimo il chiaro divieto di collegare la scadenza del brevetto alla contrattazione sul prezzo di rimborso, principio che oggi vige in Italia e che ostacola l’ingresso dei generici sul mercato al momento della effettiva scadenza del brevetto”.</w:t>
      </w:r>
      <w:r w:rsidRPr="00B1268E">
        <w:rPr>
          <w:rFonts w:ascii="Arial" w:hAnsi="Arial" w:cs="Arial"/>
          <w:sz w:val="22"/>
          <w:szCs w:val="22"/>
        </w:rPr>
        <w:br/>
      </w:r>
      <w:r w:rsidRPr="00B1268E">
        <w:rPr>
          <w:rFonts w:ascii="Arial" w:hAnsi="Arial" w:cs="Arial"/>
          <w:sz w:val="22"/>
          <w:szCs w:val="22"/>
        </w:rPr>
        <w:br/>
        <w:t xml:space="preserve">“Non pretendo che i farmaci equivalenti e biosimilari rappresentino la soluzione a tutte le criticità del Servizio sanitario” ha concluso </w:t>
      </w:r>
      <w:proofErr w:type="spellStart"/>
      <w:r w:rsidRPr="00B1268E">
        <w:rPr>
          <w:rFonts w:ascii="Arial" w:hAnsi="Arial" w:cs="Arial"/>
          <w:sz w:val="22"/>
          <w:szCs w:val="22"/>
        </w:rPr>
        <w:t>Häusermann</w:t>
      </w:r>
      <w:proofErr w:type="spellEnd"/>
      <w:r w:rsidRPr="00B1268E">
        <w:rPr>
          <w:rFonts w:ascii="Arial" w:hAnsi="Arial" w:cs="Arial"/>
          <w:sz w:val="22"/>
          <w:szCs w:val="22"/>
        </w:rPr>
        <w:t>. “Ma certamente non esiste una soluzione reale che non consideri il ruolo di queste risorse fondamentali non soltanto per ridurre la spesa, ma soprattutto per rendere più equo l’accesso alle cure”.</w:t>
      </w:r>
    </w:p>
    <w:p w:rsidR="006A0C9E" w:rsidRPr="00B1268E" w:rsidRDefault="006A0C9E" w:rsidP="006A0C9E">
      <w:pPr>
        <w:pStyle w:val="NormaleWeb"/>
        <w:rPr>
          <w:rFonts w:ascii="Arial" w:hAnsi="Arial" w:cs="Arial"/>
          <w:sz w:val="22"/>
          <w:szCs w:val="22"/>
        </w:rPr>
      </w:pPr>
    </w:p>
    <w:p w:rsidR="006A0C9E" w:rsidRPr="00B1268E" w:rsidRDefault="006A0C9E" w:rsidP="006A0C9E">
      <w:pPr>
        <w:pStyle w:val="NormaleWeb"/>
        <w:rPr>
          <w:rFonts w:ascii="Arial" w:hAnsi="Arial" w:cs="Arial"/>
          <w:sz w:val="22"/>
          <w:szCs w:val="22"/>
        </w:rPr>
      </w:pPr>
      <w:r w:rsidRPr="00B1268E">
        <w:rPr>
          <w:rFonts w:ascii="Arial" w:hAnsi="Arial" w:cs="Arial"/>
          <w:sz w:val="22"/>
          <w:szCs w:val="22"/>
        </w:rPr>
        <w:t>Per ulteriori informazioni:</w:t>
      </w:r>
    </w:p>
    <w:p w:rsidR="006A0C9E" w:rsidRPr="00B1268E" w:rsidRDefault="006A0C9E" w:rsidP="006A0C9E">
      <w:pPr>
        <w:pStyle w:val="NormaleWeb"/>
        <w:rPr>
          <w:rFonts w:ascii="Arial" w:hAnsi="Arial" w:cs="Arial"/>
          <w:sz w:val="22"/>
          <w:szCs w:val="22"/>
        </w:rPr>
      </w:pPr>
      <w:r w:rsidRPr="00B1268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75410" cy="182880"/>
            <wp:effectExtent l="19050" t="0" r="0" b="0"/>
            <wp:docPr id="2" name="Immagine 2" descr="http://newsletter.vrelations.it/userfiles/logo_firmaVR(4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letter.vrelations.it/userfiles/logo_firmaVR(45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68E">
        <w:rPr>
          <w:rFonts w:ascii="Arial" w:hAnsi="Arial" w:cs="Arial"/>
          <w:sz w:val="22"/>
          <w:szCs w:val="22"/>
        </w:rPr>
        <w:br/>
        <w:t xml:space="preserve">Ufficio Stampa </w:t>
      </w:r>
      <w:proofErr w:type="spellStart"/>
      <w:r w:rsidRPr="00B1268E">
        <w:rPr>
          <w:rFonts w:ascii="Arial" w:hAnsi="Arial" w:cs="Arial"/>
          <w:sz w:val="22"/>
          <w:szCs w:val="22"/>
        </w:rPr>
        <w:t>AssoGenerici</w:t>
      </w:r>
      <w:proofErr w:type="spellEnd"/>
      <w:r w:rsidRPr="00B1268E">
        <w:rPr>
          <w:rFonts w:ascii="Arial" w:hAnsi="Arial" w:cs="Arial"/>
          <w:sz w:val="22"/>
          <w:szCs w:val="22"/>
        </w:rPr>
        <w:br/>
        <w:t>tel. 02/20.24.13.57</w:t>
      </w:r>
      <w:r w:rsidRPr="00B1268E">
        <w:rPr>
          <w:rFonts w:ascii="Arial" w:hAnsi="Arial" w:cs="Arial"/>
          <w:sz w:val="22"/>
          <w:szCs w:val="22"/>
        </w:rPr>
        <w:br/>
        <w:t>Massimo Cherubini - cellulare 335/82.31.700</w:t>
      </w:r>
      <w:r w:rsidRPr="00B1268E">
        <w:rPr>
          <w:rFonts w:ascii="Arial" w:hAnsi="Arial" w:cs="Arial"/>
          <w:sz w:val="22"/>
          <w:szCs w:val="22"/>
        </w:rPr>
        <w:br/>
        <w:t xml:space="preserve">e-mail: </w:t>
      </w:r>
      <w:hyperlink r:id="rId6" w:history="1">
        <w:r w:rsidRPr="00B1268E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</w:p>
    <w:p w:rsidR="007531A5" w:rsidRDefault="007531A5"/>
    <w:sectPr w:rsidR="007531A5" w:rsidSect="00753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A0C9E"/>
    <w:rsid w:val="00035457"/>
    <w:rsid w:val="006A0C9E"/>
    <w:rsid w:val="007531A5"/>
    <w:rsid w:val="00891DE4"/>
    <w:rsid w:val="00B1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C9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0C9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A0C9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6A0C9E"/>
    <w:rPr>
      <w:i/>
      <w:iCs/>
    </w:rPr>
  </w:style>
  <w:style w:type="character" w:styleId="Enfasigrassetto">
    <w:name w:val="Strong"/>
    <w:basedOn w:val="Carpredefinitoparagrafo"/>
    <w:uiPriority w:val="22"/>
    <w:qFormat/>
    <w:rsid w:val="006A0C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C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C9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cherubini@vrelations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Company>HP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4</cp:revision>
  <dcterms:created xsi:type="dcterms:W3CDTF">2014-06-17T15:18:00Z</dcterms:created>
  <dcterms:modified xsi:type="dcterms:W3CDTF">2014-06-17T15:23:00Z</dcterms:modified>
</cp:coreProperties>
</file>