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A6C" w:rsidRDefault="002B4A6C" w:rsidP="002B4A6C">
      <w:pPr>
        <w:autoSpaceDE w:val="0"/>
        <w:autoSpaceDN w:val="0"/>
        <w:jc w:val="center"/>
        <w:rPr>
          <w:rFonts w:ascii="Arial" w:hAnsi="Arial" w:cs="Arial"/>
        </w:rPr>
      </w:pPr>
      <w:r>
        <w:rPr>
          <w:noProof/>
        </w:rPr>
        <w:drawing>
          <wp:inline distT="0" distB="0" distL="0" distR="0">
            <wp:extent cx="4438650" cy="790575"/>
            <wp:effectExtent l="19050" t="0" r="0" b="0"/>
            <wp:docPr id="1" name="Immagine 1" descr="http://newsletter.vrelations.it/userfiles/assogenerici%20logo(5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newsletter.vrelations.it/userfiles/assogenerici%20logo(58).bmp"/>
                    <pic:cNvPicPr>
                      <a:picLocks noChangeAspect="1" noChangeArrowheads="1"/>
                    </pic:cNvPicPr>
                  </pic:nvPicPr>
                  <pic:blipFill>
                    <a:blip r:embed="rId4" r:link="rId5" cstate="print"/>
                    <a:srcRect/>
                    <a:stretch>
                      <a:fillRect/>
                    </a:stretch>
                  </pic:blipFill>
                  <pic:spPr bwMode="auto">
                    <a:xfrm>
                      <a:off x="0" y="0"/>
                      <a:ext cx="4438650" cy="790575"/>
                    </a:xfrm>
                    <a:prstGeom prst="rect">
                      <a:avLst/>
                    </a:prstGeom>
                    <a:noFill/>
                    <a:ln w="9525">
                      <a:noFill/>
                      <a:miter lim="800000"/>
                      <a:headEnd/>
                      <a:tailEnd/>
                    </a:ln>
                  </pic:spPr>
                </pic:pic>
              </a:graphicData>
            </a:graphic>
          </wp:inline>
        </w:drawing>
      </w:r>
    </w:p>
    <w:p w:rsidR="002B4A6C" w:rsidRDefault="002B4A6C" w:rsidP="002B4A6C">
      <w:pPr>
        <w:autoSpaceDE w:val="0"/>
        <w:autoSpaceDN w:val="0"/>
        <w:rPr>
          <w:rFonts w:ascii="Arial" w:hAnsi="Arial" w:cs="Arial"/>
        </w:rPr>
      </w:pPr>
    </w:p>
    <w:p w:rsidR="002B4A6C" w:rsidRDefault="002B4A6C" w:rsidP="002B4A6C">
      <w:pPr>
        <w:autoSpaceDE w:val="0"/>
        <w:autoSpaceDN w:val="0"/>
        <w:rPr>
          <w:rFonts w:ascii="Arial" w:hAnsi="Arial" w:cs="Arial"/>
        </w:rPr>
      </w:pPr>
    </w:p>
    <w:p w:rsidR="002B4A6C" w:rsidRDefault="002B4A6C" w:rsidP="002B4A6C">
      <w:pPr>
        <w:autoSpaceDE w:val="0"/>
        <w:autoSpaceDN w:val="0"/>
        <w:jc w:val="center"/>
        <w:rPr>
          <w:rFonts w:ascii="Arial" w:hAnsi="Arial" w:cs="Arial"/>
        </w:rPr>
      </w:pPr>
    </w:p>
    <w:p w:rsidR="002B4A6C" w:rsidRPr="002B4A6C" w:rsidRDefault="002B4A6C" w:rsidP="002B4A6C">
      <w:pPr>
        <w:autoSpaceDE w:val="0"/>
        <w:autoSpaceDN w:val="0"/>
        <w:jc w:val="center"/>
        <w:rPr>
          <w:rFonts w:ascii="Arial" w:hAnsi="Arial" w:cs="Arial"/>
          <w:i/>
          <w:u w:val="single"/>
        </w:rPr>
      </w:pPr>
      <w:r w:rsidRPr="002B4A6C">
        <w:rPr>
          <w:rFonts w:ascii="Arial" w:hAnsi="Arial" w:cs="Arial"/>
          <w:i/>
          <w:u w:val="single"/>
        </w:rPr>
        <w:t>Comunicato stampa</w:t>
      </w:r>
    </w:p>
    <w:p w:rsidR="002B4A6C" w:rsidRDefault="002B4A6C" w:rsidP="002B4A6C">
      <w:pPr>
        <w:autoSpaceDE w:val="0"/>
        <w:autoSpaceDN w:val="0"/>
        <w:jc w:val="center"/>
        <w:rPr>
          <w:rFonts w:ascii="Arial" w:hAnsi="Arial" w:cs="Arial"/>
        </w:rPr>
      </w:pPr>
    </w:p>
    <w:p w:rsidR="002B4A6C" w:rsidRDefault="002B4A6C" w:rsidP="002B4A6C">
      <w:pPr>
        <w:autoSpaceDE w:val="0"/>
        <w:autoSpaceDN w:val="0"/>
        <w:jc w:val="center"/>
        <w:rPr>
          <w:rFonts w:ascii="Arial" w:hAnsi="Arial" w:cs="Arial"/>
        </w:rPr>
      </w:pPr>
    </w:p>
    <w:p w:rsidR="002B4A6C" w:rsidRPr="002B4A6C" w:rsidRDefault="002B4A6C" w:rsidP="002B4A6C">
      <w:pPr>
        <w:autoSpaceDE w:val="0"/>
        <w:autoSpaceDN w:val="0"/>
        <w:jc w:val="center"/>
        <w:rPr>
          <w:rFonts w:ascii="Arial" w:hAnsi="Arial" w:cs="Arial"/>
          <w:b/>
          <w:sz w:val="44"/>
          <w:szCs w:val="44"/>
        </w:rPr>
      </w:pPr>
      <w:proofErr w:type="spellStart"/>
      <w:r w:rsidRPr="002B4A6C">
        <w:rPr>
          <w:rFonts w:ascii="Arial" w:hAnsi="Arial" w:cs="Arial"/>
          <w:b/>
          <w:sz w:val="44"/>
          <w:szCs w:val="44"/>
        </w:rPr>
        <w:t>Biosimilari</w:t>
      </w:r>
      <w:proofErr w:type="spellEnd"/>
      <w:r w:rsidRPr="002B4A6C">
        <w:rPr>
          <w:rFonts w:ascii="Arial" w:hAnsi="Arial" w:cs="Arial"/>
          <w:b/>
          <w:sz w:val="44"/>
          <w:szCs w:val="44"/>
        </w:rPr>
        <w:t>: la polemica sulla sostituzione automatica copre un’esclusione di fatto</w:t>
      </w:r>
    </w:p>
    <w:p w:rsidR="002B4A6C" w:rsidRPr="002B4A6C" w:rsidRDefault="002B4A6C" w:rsidP="002B4A6C">
      <w:pPr>
        <w:autoSpaceDE w:val="0"/>
        <w:autoSpaceDN w:val="0"/>
        <w:jc w:val="center"/>
        <w:rPr>
          <w:rFonts w:ascii="Arial" w:hAnsi="Arial" w:cs="Arial"/>
        </w:rPr>
      </w:pPr>
    </w:p>
    <w:p w:rsidR="002B4A6C" w:rsidRPr="002B4A6C" w:rsidRDefault="002B4A6C" w:rsidP="002B4A6C">
      <w:pPr>
        <w:autoSpaceDE w:val="0"/>
        <w:autoSpaceDN w:val="0"/>
        <w:jc w:val="center"/>
        <w:rPr>
          <w:rFonts w:ascii="Arial" w:hAnsi="Arial" w:cs="Arial"/>
          <w:i/>
        </w:rPr>
      </w:pPr>
      <w:r w:rsidRPr="002B4A6C">
        <w:rPr>
          <w:rFonts w:ascii="Arial" w:hAnsi="Arial" w:cs="Arial"/>
          <w:i/>
        </w:rPr>
        <w:t xml:space="preserve">Come ricorda anche la recentissima segnalazione dell’Antitrust, il fatto di non poter considerare i </w:t>
      </w:r>
      <w:proofErr w:type="spellStart"/>
      <w:r w:rsidRPr="002B4A6C">
        <w:rPr>
          <w:rFonts w:ascii="Arial" w:hAnsi="Arial" w:cs="Arial"/>
          <w:i/>
        </w:rPr>
        <w:t>biosimilari</w:t>
      </w:r>
      <w:proofErr w:type="spellEnd"/>
      <w:r w:rsidRPr="002B4A6C">
        <w:rPr>
          <w:rFonts w:ascii="Arial" w:hAnsi="Arial" w:cs="Arial"/>
          <w:i/>
        </w:rPr>
        <w:t xml:space="preserve"> alla stregua dei generici non può oscurare l’equivalenza terapeutica con i </w:t>
      </w:r>
      <w:proofErr w:type="spellStart"/>
      <w:r w:rsidRPr="002B4A6C">
        <w:rPr>
          <w:rFonts w:ascii="Arial" w:hAnsi="Arial" w:cs="Arial"/>
          <w:i/>
        </w:rPr>
        <w:t>biotech</w:t>
      </w:r>
      <w:proofErr w:type="spellEnd"/>
      <w:r w:rsidRPr="002B4A6C">
        <w:rPr>
          <w:rFonts w:ascii="Arial" w:hAnsi="Arial" w:cs="Arial"/>
          <w:i/>
        </w:rPr>
        <w:t xml:space="preserve"> originali. Eppure nelle gare di ASL ed enti ospedalieri si continua a operare come se al farmaco </w:t>
      </w:r>
      <w:proofErr w:type="spellStart"/>
      <w:r w:rsidRPr="002B4A6C">
        <w:rPr>
          <w:rFonts w:ascii="Arial" w:hAnsi="Arial" w:cs="Arial"/>
          <w:i/>
        </w:rPr>
        <w:t>branded</w:t>
      </w:r>
      <w:proofErr w:type="spellEnd"/>
      <w:r w:rsidRPr="002B4A6C">
        <w:rPr>
          <w:rFonts w:ascii="Arial" w:hAnsi="Arial" w:cs="Arial"/>
          <w:i/>
        </w:rPr>
        <w:t xml:space="preserve"> non esistessero alternative</w:t>
      </w:r>
    </w:p>
    <w:p w:rsidR="002B4A6C" w:rsidRPr="002B4A6C" w:rsidRDefault="002B4A6C" w:rsidP="002B4A6C">
      <w:pPr>
        <w:autoSpaceDE w:val="0"/>
        <w:autoSpaceDN w:val="0"/>
        <w:rPr>
          <w:rFonts w:ascii="Arial" w:hAnsi="Arial" w:cs="Arial"/>
        </w:rPr>
      </w:pPr>
    </w:p>
    <w:p w:rsidR="002B4A6C" w:rsidRPr="002B4A6C" w:rsidRDefault="002B4A6C" w:rsidP="002B4A6C">
      <w:pPr>
        <w:autoSpaceDE w:val="0"/>
        <w:autoSpaceDN w:val="0"/>
        <w:rPr>
          <w:rFonts w:ascii="Arial" w:hAnsi="Arial" w:cs="Arial"/>
        </w:rPr>
      </w:pPr>
    </w:p>
    <w:p w:rsidR="003F12CF" w:rsidRDefault="00224D2A" w:rsidP="00F06AA7">
      <w:pPr>
        <w:autoSpaceDE w:val="0"/>
        <w:autoSpaceDN w:val="0"/>
        <w:jc w:val="both"/>
        <w:rPr>
          <w:rFonts w:ascii="Arial" w:hAnsi="Arial" w:cs="Arial"/>
        </w:rPr>
      </w:pPr>
      <w:r w:rsidRPr="00224D2A">
        <w:rPr>
          <w:rFonts w:ascii="Arial" w:hAnsi="Arial" w:cs="Arial"/>
          <w:b/>
        </w:rPr>
        <w:t>Roma, 4 giugno 2013</w:t>
      </w:r>
      <w:r>
        <w:rPr>
          <w:rFonts w:ascii="Arial" w:hAnsi="Arial" w:cs="Arial"/>
        </w:rPr>
        <w:t xml:space="preserve"> - </w:t>
      </w:r>
      <w:r w:rsidR="002B4A6C" w:rsidRPr="002B4A6C">
        <w:rPr>
          <w:rFonts w:ascii="Arial" w:hAnsi="Arial" w:cs="Arial"/>
        </w:rPr>
        <w:t>“Mi sembra che la migliore rispos</w:t>
      </w:r>
      <w:r w:rsidR="00F06AA7">
        <w:rPr>
          <w:rFonts w:ascii="Arial" w:hAnsi="Arial" w:cs="Arial"/>
        </w:rPr>
        <w:t xml:space="preserve">ta alle diverse interpretazioni </w:t>
      </w:r>
      <w:r w:rsidR="002B4A6C" w:rsidRPr="002B4A6C">
        <w:rPr>
          <w:rFonts w:ascii="Arial" w:hAnsi="Arial" w:cs="Arial"/>
        </w:rPr>
        <w:t xml:space="preserve">della natura dei </w:t>
      </w:r>
      <w:proofErr w:type="spellStart"/>
      <w:r w:rsidR="002B4A6C" w:rsidRPr="002B4A6C">
        <w:rPr>
          <w:rFonts w:ascii="Arial" w:hAnsi="Arial" w:cs="Arial"/>
        </w:rPr>
        <w:t>biosimilari</w:t>
      </w:r>
      <w:proofErr w:type="spellEnd"/>
      <w:r w:rsidR="002B4A6C" w:rsidRPr="002B4A6C">
        <w:rPr>
          <w:rFonts w:ascii="Arial" w:hAnsi="Arial" w:cs="Arial"/>
        </w:rPr>
        <w:t xml:space="preserve"> la fornisca l’ultima segnalazione dell’AGCM. In Italia la questione non è la possibile sostituzione automatica del farmaco </w:t>
      </w:r>
      <w:proofErr w:type="spellStart"/>
      <w:r w:rsidR="002B4A6C" w:rsidRPr="002B4A6C">
        <w:rPr>
          <w:rFonts w:ascii="Arial" w:hAnsi="Arial" w:cs="Arial"/>
        </w:rPr>
        <w:t>biotech</w:t>
      </w:r>
      <w:proofErr w:type="spellEnd"/>
      <w:r w:rsidR="002B4A6C" w:rsidRPr="002B4A6C">
        <w:rPr>
          <w:rFonts w:ascii="Arial" w:hAnsi="Arial" w:cs="Arial"/>
        </w:rPr>
        <w:t xml:space="preserve"> originale con il </w:t>
      </w:r>
      <w:proofErr w:type="spellStart"/>
      <w:r w:rsidR="002B4A6C" w:rsidRPr="002B4A6C">
        <w:rPr>
          <w:rFonts w:ascii="Arial" w:hAnsi="Arial" w:cs="Arial"/>
        </w:rPr>
        <w:t>biosimilare</w:t>
      </w:r>
      <w:proofErr w:type="spellEnd"/>
      <w:r w:rsidR="002B4A6C" w:rsidRPr="002B4A6C">
        <w:rPr>
          <w:rFonts w:ascii="Arial" w:hAnsi="Arial" w:cs="Arial"/>
        </w:rPr>
        <w:t xml:space="preserve">, da sempre esclusa in linea di principio, ma di permettere a quest’ultimo di confrontarsi, in terapia e sul mercato, con l’originatore. E’ in base a questa considerazione di fondo che va letto il recente Position </w:t>
      </w:r>
      <w:proofErr w:type="spellStart"/>
      <w:r w:rsidR="002B4A6C" w:rsidRPr="002B4A6C">
        <w:rPr>
          <w:rFonts w:ascii="Arial" w:hAnsi="Arial" w:cs="Arial"/>
        </w:rPr>
        <w:t>Paper</w:t>
      </w:r>
      <w:proofErr w:type="spellEnd"/>
      <w:r w:rsidR="002B4A6C" w:rsidRPr="002B4A6C">
        <w:rPr>
          <w:rFonts w:ascii="Arial" w:hAnsi="Arial" w:cs="Arial"/>
        </w:rPr>
        <w:t xml:space="preserve"> dell’AIFA che, peraltro, mi pare abbastanza chiaro nel suo intento di includere il </w:t>
      </w:r>
      <w:proofErr w:type="spellStart"/>
      <w:r w:rsidR="002B4A6C" w:rsidRPr="002B4A6C">
        <w:rPr>
          <w:rFonts w:ascii="Arial" w:hAnsi="Arial" w:cs="Arial"/>
        </w:rPr>
        <w:t>biosimilare</w:t>
      </w:r>
      <w:proofErr w:type="spellEnd"/>
      <w:r w:rsidR="002B4A6C" w:rsidRPr="002B4A6C">
        <w:rPr>
          <w:rFonts w:ascii="Arial" w:hAnsi="Arial" w:cs="Arial"/>
        </w:rPr>
        <w:t xml:space="preserve"> tra le opzioni terapeutiche con pari dignità e non di relegarlo in una nicchia circoscritta. Il fatto che i </w:t>
      </w:r>
      <w:proofErr w:type="spellStart"/>
      <w:r w:rsidR="002B4A6C" w:rsidRPr="002B4A6C">
        <w:rPr>
          <w:rFonts w:ascii="Arial" w:hAnsi="Arial" w:cs="Arial"/>
        </w:rPr>
        <w:t>biosimilari</w:t>
      </w:r>
      <w:proofErr w:type="spellEnd"/>
      <w:r w:rsidR="002B4A6C" w:rsidRPr="002B4A6C">
        <w:rPr>
          <w:rFonts w:ascii="Arial" w:hAnsi="Arial" w:cs="Arial"/>
        </w:rPr>
        <w:t xml:space="preserve"> non siano considerati automaticamente sostituibili non significa che non esista una equivalenza terapeutica stabilita a livello europeo dall’EMA e riconosciuta dall’AIFA</w:t>
      </w:r>
      <w:r w:rsidR="00D83E19">
        <w:rPr>
          <w:rFonts w:ascii="Arial" w:hAnsi="Arial" w:cs="Arial"/>
        </w:rPr>
        <w:t>. </w:t>
      </w:r>
      <w:r w:rsidR="002B4A6C" w:rsidRPr="002B4A6C">
        <w:rPr>
          <w:rFonts w:ascii="Arial" w:hAnsi="Arial" w:cs="Arial"/>
        </w:rPr>
        <w:t>Questi farmaci sono sicuri, efficaci e hanno le stesse indicazioni di quelli originali e lo stesso meccanismo d’azione: se questa non è equiva</w:t>
      </w:r>
      <w:r w:rsidR="00D83E19">
        <w:rPr>
          <w:rFonts w:ascii="Arial" w:hAnsi="Arial" w:cs="Arial"/>
        </w:rPr>
        <w:t xml:space="preserve">lenza terapeutica, che cos’è?” </w:t>
      </w:r>
      <w:r w:rsidR="002B4A6C" w:rsidRPr="002B4A6C">
        <w:rPr>
          <w:rFonts w:ascii="Arial" w:hAnsi="Arial" w:cs="Arial"/>
        </w:rPr>
        <w:t xml:space="preserve">Queste le considerazioni di </w:t>
      </w:r>
      <w:r w:rsidR="002B4A6C" w:rsidRPr="00D83E19">
        <w:rPr>
          <w:rFonts w:ascii="Arial" w:hAnsi="Arial" w:cs="Arial"/>
          <w:b/>
        </w:rPr>
        <w:t xml:space="preserve">Francesco </w:t>
      </w:r>
      <w:proofErr w:type="spellStart"/>
      <w:r w:rsidR="002B4A6C" w:rsidRPr="00D83E19">
        <w:rPr>
          <w:rFonts w:ascii="Arial" w:hAnsi="Arial" w:cs="Arial"/>
          <w:b/>
        </w:rPr>
        <w:t>Colantuoni</w:t>
      </w:r>
      <w:proofErr w:type="spellEnd"/>
      <w:r w:rsidR="002B4A6C" w:rsidRPr="00D83E19">
        <w:rPr>
          <w:rFonts w:ascii="Arial" w:hAnsi="Arial" w:cs="Arial"/>
          <w:b/>
        </w:rPr>
        <w:t>, vicepresidente di AssoGenerici</w:t>
      </w:r>
      <w:r w:rsidR="002B4A6C" w:rsidRPr="002B4A6C">
        <w:rPr>
          <w:rFonts w:ascii="Arial" w:hAnsi="Arial" w:cs="Arial"/>
        </w:rPr>
        <w:t>, a commento dell’ultimo atto dell’Antitrust, che denuncia un meccanismo delle gare per l’acquisizione di farmaci biotecnologici penalizzante,</w:t>
      </w:r>
      <w:r w:rsidR="001108C5">
        <w:rPr>
          <w:rFonts w:ascii="Arial" w:hAnsi="Arial" w:cs="Arial"/>
        </w:rPr>
        <w:t xml:space="preserve"> </w:t>
      </w:r>
      <w:r w:rsidR="002B4A6C" w:rsidRPr="002B4A6C">
        <w:rPr>
          <w:rFonts w:ascii="Arial" w:hAnsi="Arial" w:cs="Arial"/>
        </w:rPr>
        <w:t xml:space="preserve">in quanto prevede semplicemente l’abbassamento del prezzo da parte del produttore dell’originale, senza confronto con le altre offerte presenti sul mercato.  Infatti, la segnalazione dell’AGCM definisce illegittima proprio “l’esclusione di un principio di equivalenza terapeutica tra le due tipologie di farmaci” e sancisce “la piena riconducibilità delle stesse a un unico mercato rilevante del prodotto”. E’ chiaro, prosegue la segnalazione, che per i pazienti già in trattamento è necessario mantenere la fornitura del farmaco già adottato, ma “l’eventuale previsione di esclusive di acquisto di farmaci biologici originatori debba sempre risultare </w:t>
      </w:r>
      <w:proofErr w:type="spellStart"/>
      <w:r w:rsidR="002B4A6C" w:rsidRPr="002B4A6C">
        <w:rPr>
          <w:rFonts w:ascii="Arial" w:hAnsi="Arial" w:cs="Arial"/>
        </w:rPr>
        <w:t>parametrata</w:t>
      </w:r>
      <w:proofErr w:type="spellEnd"/>
      <w:r w:rsidR="002B4A6C" w:rsidRPr="002B4A6C">
        <w:rPr>
          <w:rFonts w:ascii="Arial" w:hAnsi="Arial" w:cs="Arial"/>
        </w:rPr>
        <w:t xml:space="preserve"> a criteri oggettivi (es.</w:t>
      </w:r>
      <w:r w:rsidR="00A76322">
        <w:rPr>
          <w:rFonts w:ascii="Arial" w:hAnsi="Arial" w:cs="Arial"/>
        </w:rPr>
        <w:t xml:space="preserve"> </w:t>
      </w:r>
      <w:r w:rsidR="002B4A6C" w:rsidRPr="002B4A6C">
        <w:rPr>
          <w:rFonts w:ascii="Arial" w:hAnsi="Arial" w:cs="Arial"/>
        </w:rPr>
        <w:t xml:space="preserve">percentuale di pazienti già in trattamento vs. pazienti c.d. </w:t>
      </w:r>
      <w:proofErr w:type="spellStart"/>
      <w:r w:rsidR="002B4A6C" w:rsidRPr="002B4A6C">
        <w:rPr>
          <w:rFonts w:ascii="Arial" w:hAnsi="Arial" w:cs="Arial"/>
          <w:i/>
          <w:iCs/>
        </w:rPr>
        <w:t>drug</w:t>
      </w:r>
      <w:proofErr w:type="spellEnd"/>
      <w:r w:rsidR="002B4A6C" w:rsidRPr="002B4A6C">
        <w:rPr>
          <w:rFonts w:ascii="Arial" w:hAnsi="Arial" w:cs="Arial"/>
          <w:i/>
          <w:iCs/>
        </w:rPr>
        <w:t xml:space="preserve"> </w:t>
      </w:r>
      <w:proofErr w:type="spellStart"/>
      <w:r w:rsidR="002B4A6C" w:rsidRPr="002B4A6C">
        <w:rPr>
          <w:rFonts w:ascii="Arial" w:hAnsi="Arial" w:cs="Arial"/>
          <w:i/>
          <w:iCs/>
        </w:rPr>
        <w:t>naïve</w:t>
      </w:r>
      <w:proofErr w:type="spellEnd"/>
      <w:r w:rsidR="002B4A6C" w:rsidRPr="002B4A6C">
        <w:rPr>
          <w:rFonts w:ascii="Arial" w:hAnsi="Arial" w:cs="Arial"/>
        </w:rPr>
        <w:t>) e per quanto possibile sempre assoggettabile a successive revisioni, in vista dello sviluppo di un più ampio confronto</w:t>
      </w:r>
      <w:r w:rsidR="003F12CF">
        <w:rPr>
          <w:rFonts w:ascii="Arial" w:hAnsi="Arial" w:cs="Arial"/>
        </w:rPr>
        <w:t xml:space="preserve"> </w:t>
      </w:r>
      <w:r w:rsidR="002B4A6C" w:rsidRPr="002B4A6C">
        <w:rPr>
          <w:rFonts w:ascii="Arial" w:hAnsi="Arial" w:cs="Arial"/>
        </w:rPr>
        <w:t xml:space="preserve">concorrenziale con i farmaci </w:t>
      </w:r>
      <w:proofErr w:type="spellStart"/>
      <w:r w:rsidR="002B4A6C" w:rsidRPr="002B4A6C">
        <w:rPr>
          <w:rFonts w:ascii="Arial" w:hAnsi="Arial" w:cs="Arial"/>
        </w:rPr>
        <w:t>biosimilari</w:t>
      </w:r>
      <w:proofErr w:type="spellEnd"/>
      <w:r w:rsidR="002B4A6C" w:rsidRPr="002B4A6C">
        <w:rPr>
          <w:rFonts w:ascii="Arial" w:hAnsi="Arial" w:cs="Arial"/>
        </w:rPr>
        <w:t>”.</w:t>
      </w:r>
      <w:r w:rsidR="003F12CF">
        <w:rPr>
          <w:rFonts w:ascii="Arial" w:hAnsi="Arial" w:cs="Arial"/>
        </w:rPr>
        <w:t>  Per il vicepresidente di AssoG</w:t>
      </w:r>
      <w:r w:rsidR="002B4A6C" w:rsidRPr="002B4A6C">
        <w:rPr>
          <w:rFonts w:ascii="Arial" w:hAnsi="Arial" w:cs="Arial"/>
        </w:rPr>
        <w:t xml:space="preserve">enerici, dunque, “è fuorviante spostare la discussione su un elemento, la sostituzione automatica, che nessuno ha mai rivendicato per il </w:t>
      </w:r>
      <w:proofErr w:type="spellStart"/>
      <w:r w:rsidR="002B4A6C" w:rsidRPr="002B4A6C">
        <w:rPr>
          <w:rFonts w:ascii="Arial" w:hAnsi="Arial" w:cs="Arial"/>
        </w:rPr>
        <w:t>biosimilare</w:t>
      </w:r>
      <w:proofErr w:type="spellEnd"/>
      <w:r w:rsidR="002B4A6C" w:rsidRPr="002B4A6C">
        <w:rPr>
          <w:rFonts w:ascii="Arial" w:hAnsi="Arial" w:cs="Arial"/>
        </w:rPr>
        <w:t xml:space="preserve">, facendo passare in secondo piano il fatto che ancora oggi non si riconosce al </w:t>
      </w:r>
      <w:proofErr w:type="spellStart"/>
      <w:r w:rsidR="002B4A6C" w:rsidRPr="002B4A6C">
        <w:rPr>
          <w:rFonts w:ascii="Arial" w:hAnsi="Arial" w:cs="Arial"/>
        </w:rPr>
        <w:t>biosimilare</w:t>
      </w:r>
      <w:proofErr w:type="spellEnd"/>
      <w:r w:rsidR="002B4A6C" w:rsidRPr="002B4A6C">
        <w:rPr>
          <w:rFonts w:ascii="Arial" w:hAnsi="Arial" w:cs="Arial"/>
        </w:rPr>
        <w:t xml:space="preserve"> – ma anche al generico – il ruolo che realmente gli compete”.</w:t>
      </w:r>
    </w:p>
    <w:p w:rsidR="00992639" w:rsidRDefault="00992639" w:rsidP="00F06AA7">
      <w:pPr>
        <w:autoSpaceDE w:val="0"/>
        <w:autoSpaceDN w:val="0"/>
        <w:jc w:val="both"/>
        <w:rPr>
          <w:rFonts w:ascii="Arial" w:hAnsi="Arial" w:cs="Arial"/>
        </w:rPr>
      </w:pPr>
    </w:p>
    <w:p w:rsidR="00992639" w:rsidRDefault="00992639" w:rsidP="00F06AA7">
      <w:pPr>
        <w:autoSpaceDE w:val="0"/>
        <w:autoSpaceDN w:val="0"/>
        <w:jc w:val="both"/>
        <w:rPr>
          <w:rFonts w:ascii="Arial" w:hAnsi="Arial" w:cs="Arial"/>
        </w:rPr>
      </w:pPr>
    </w:p>
    <w:p w:rsidR="001763AC" w:rsidRDefault="00992639" w:rsidP="00992639">
      <w:pPr>
        <w:spacing w:after="345"/>
      </w:pPr>
      <w:r>
        <w:rPr>
          <w:rStyle w:val="Enfasigrassetto"/>
          <w:rFonts w:ascii="Arial" w:hAnsi="Arial" w:cs="Arial"/>
        </w:rPr>
        <w:t>Per ulteriori informazioni:</w:t>
      </w:r>
      <w:r>
        <w:rPr>
          <w:rFonts w:ascii="Arial" w:hAnsi="Arial" w:cs="Arial"/>
        </w:rPr>
        <w:br/>
      </w:r>
      <w:r>
        <w:rPr>
          <w:rFonts w:ascii="Arial" w:hAnsi="Arial" w:cs="Arial"/>
          <w:noProof/>
        </w:rPr>
        <w:drawing>
          <wp:inline distT="0" distB="0" distL="0" distR="0">
            <wp:extent cx="1066800" cy="123825"/>
            <wp:effectExtent l="19050" t="0" r="0" b="0"/>
            <wp:docPr id="4" name="Immagine 4" descr="http://newsletter.vrelations.it/userfiles/LOGOVR(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http://newsletter.vrelations.it/userfiles/LOGOVR(138).jpg"/>
                    <pic:cNvPicPr>
                      <a:picLocks noChangeAspect="1" noChangeArrowheads="1"/>
                    </pic:cNvPicPr>
                  </pic:nvPicPr>
                  <pic:blipFill>
                    <a:blip r:embed="rId6" r:link="rId7" cstate="print"/>
                    <a:srcRect/>
                    <a:stretch>
                      <a:fillRect/>
                    </a:stretch>
                  </pic:blipFill>
                  <pic:spPr bwMode="auto">
                    <a:xfrm>
                      <a:off x="0" y="0"/>
                      <a:ext cx="1066800" cy="123825"/>
                    </a:xfrm>
                    <a:prstGeom prst="rect">
                      <a:avLst/>
                    </a:prstGeom>
                    <a:noFill/>
                    <a:ln w="9525">
                      <a:noFill/>
                      <a:miter lim="800000"/>
                      <a:headEnd/>
                      <a:tailEnd/>
                    </a:ln>
                  </pic:spPr>
                </pic:pic>
              </a:graphicData>
            </a:graphic>
          </wp:inline>
        </w:drawing>
      </w:r>
      <w:r>
        <w:rPr>
          <w:rFonts w:ascii="Arial" w:hAnsi="Arial" w:cs="Arial"/>
        </w:rPr>
        <w:br/>
        <w:t>Ufficio Stampa AssoGenerici</w:t>
      </w:r>
      <w:r>
        <w:rPr>
          <w:rFonts w:ascii="Arial" w:hAnsi="Arial" w:cs="Arial"/>
        </w:rPr>
        <w:br/>
        <w:t>tel. 02/20.24.13.57</w:t>
      </w:r>
      <w:r>
        <w:rPr>
          <w:rFonts w:ascii="Arial" w:hAnsi="Arial" w:cs="Arial"/>
        </w:rPr>
        <w:br/>
        <w:t>Massimo Cherubini - cellulare 335/82.31.700</w:t>
      </w:r>
      <w:r>
        <w:rPr>
          <w:rFonts w:ascii="Arial" w:hAnsi="Arial" w:cs="Arial"/>
        </w:rPr>
        <w:br/>
        <w:t xml:space="preserve">e-mail: </w:t>
      </w:r>
      <w:hyperlink r:id="rId8" w:history="1">
        <w:r>
          <w:rPr>
            <w:rStyle w:val="Collegamentoipertestuale"/>
            <w:rFonts w:ascii="Arial" w:hAnsi="Arial" w:cs="Arial"/>
          </w:rPr>
          <w:t>m.cherubini@vrelations.it</w:t>
        </w:r>
      </w:hyperlink>
    </w:p>
    <w:sectPr w:rsidR="001763AC" w:rsidSect="001763A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B4A6C"/>
    <w:rsid w:val="001108C5"/>
    <w:rsid w:val="001763AC"/>
    <w:rsid w:val="00224D2A"/>
    <w:rsid w:val="002B4A6C"/>
    <w:rsid w:val="003F12CF"/>
    <w:rsid w:val="00992639"/>
    <w:rsid w:val="00A76322"/>
    <w:rsid w:val="00D83E19"/>
    <w:rsid w:val="00F06AA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4A6C"/>
    <w:pPr>
      <w:spacing w:after="0" w:line="240" w:lineRule="auto"/>
    </w:pPr>
    <w:rPr>
      <w:rFonts w:ascii="Calibri"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B4A6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B4A6C"/>
    <w:rPr>
      <w:rFonts w:ascii="Tahoma" w:hAnsi="Tahoma" w:cs="Tahoma"/>
      <w:sz w:val="16"/>
      <w:szCs w:val="16"/>
      <w:lang w:eastAsia="it-IT"/>
    </w:rPr>
  </w:style>
  <w:style w:type="character" w:styleId="Collegamentoipertestuale">
    <w:name w:val="Hyperlink"/>
    <w:basedOn w:val="Carpredefinitoparagrafo"/>
    <w:uiPriority w:val="99"/>
    <w:semiHidden/>
    <w:unhideWhenUsed/>
    <w:rsid w:val="00992639"/>
    <w:rPr>
      <w:color w:val="0000FF"/>
      <w:u w:val="single"/>
    </w:rPr>
  </w:style>
  <w:style w:type="character" w:styleId="Enfasigrassetto">
    <w:name w:val="Strong"/>
    <w:basedOn w:val="Carpredefinitoparagrafo"/>
    <w:uiPriority w:val="22"/>
    <w:qFormat/>
    <w:rsid w:val="00992639"/>
    <w:rPr>
      <w:b/>
      <w:bCs/>
    </w:rPr>
  </w:style>
</w:styles>
</file>

<file path=word/webSettings.xml><?xml version="1.0" encoding="utf-8"?>
<w:webSettings xmlns:r="http://schemas.openxmlformats.org/officeDocument/2006/relationships" xmlns:w="http://schemas.openxmlformats.org/wordprocessingml/2006/main">
  <w:divs>
    <w:div w:id="1534265741">
      <w:bodyDiv w:val="1"/>
      <w:marLeft w:val="0"/>
      <w:marRight w:val="0"/>
      <w:marTop w:val="0"/>
      <w:marBottom w:val="0"/>
      <w:divBdr>
        <w:top w:val="none" w:sz="0" w:space="0" w:color="auto"/>
        <w:left w:val="none" w:sz="0" w:space="0" w:color="auto"/>
        <w:bottom w:val="none" w:sz="0" w:space="0" w:color="auto"/>
        <w:right w:val="none" w:sz="0" w:space="0" w:color="auto"/>
      </w:divBdr>
    </w:div>
    <w:div w:id="212923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cherubini@vrelations.it" TargetMode="External"/><Relationship Id="rId3" Type="http://schemas.openxmlformats.org/officeDocument/2006/relationships/webSettings" Target="webSettings.xml"/><Relationship Id="rId7" Type="http://schemas.openxmlformats.org/officeDocument/2006/relationships/image" Target="cid:image002.gif@01CE5D6A.55CBA8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cid:image001.png@01CE5D6A.55CBA8D0"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474</Words>
  <Characters>2707</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10</cp:revision>
  <dcterms:created xsi:type="dcterms:W3CDTF">2013-06-04T09:37:00Z</dcterms:created>
  <dcterms:modified xsi:type="dcterms:W3CDTF">2013-06-04T09:44:00Z</dcterms:modified>
</cp:coreProperties>
</file>