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54" w:rsidRDefault="006C6054" w:rsidP="006C6054">
      <w:pPr>
        <w:jc w:val="center"/>
        <w:rPr>
          <w:rFonts w:ascii="Arial" w:hAnsi="Arial" w:cs="Arial"/>
          <w:bCs/>
        </w:rPr>
      </w:pPr>
      <w:r>
        <w:rPr>
          <w:noProof/>
        </w:rPr>
        <w:drawing>
          <wp:inline distT="0" distB="0" distL="0" distR="0">
            <wp:extent cx="4438650" cy="790575"/>
            <wp:effectExtent l="19050" t="0" r="0" b="0"/>
            <wp:docPr id="1" name="Immagine 1" descr="http://newsletter.vrelations.it/userfiles/assogenerici%20logo(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56).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6C6054" w:rsidRDefault="006C6054" w:rsidP="006C6054">
      <w:pPr>
        <w:rPr>
          <w:rFonts w:ascii="Arial" w:hAnsi="Arial" w:cs="Arial"/>
          <w:bCs/>
        </w:rPr>
      </w:pPr>
    </w:p>
    <w:p w:rsidR="006C6054" w:rsidRPr="006C6054" w:rsidRDefault="006C6054" w:rsidP="006C6054">
      <w:pPr>
        <w:jc w:val="center"/>
        <w:rPr>
          <w:rFonts w:ascii="Arial" w:hAnsi="Arial" w:cs="Arial"/>
          <w:bCs/>
          <w:i/>
          <w:u w:val="single"/>
        </w:rPr>
      </w:pPr>
      <w:r w:rsidRPr="006C6054">
        <w:rPr>
          <w:rFonts w:ascii="Arial" w:hAnsi="Arial" w:cs="Arial"/>
          <w:bCs/>
          <w:i/>
          <w:u w:val="single"/>
        </w:rPr>
        <w:t>Comunicato stampa</w:t>
      </w:r>
    </w:p>
    <w:p w:rsidR="006C6054" w:rsidRDefault="006C6054" w:rsidP="006C6054">
      <w:pPr>
        <w:rPr>
          <w:rFonts w:ascii="Arial" w:hAnsi="Arial" w:cs="Arial"/>
          <w:bCs/>
        </w:rPr>
      </w:pPr>
    </w:p>
    <w:p w:rsidR="006C6054" w:rsidRDefault="006C6054" w:rsidP="006C6054">
      <w:pPr>
        <w:rPr>
          <w:rFonts w:ascii="Arial" w:hAnsi="Arial" w:cs="Arial"/>
          <w:bCs/>
        </w:rPr>
      </w:pPr>
    </w:p>
    <w:p w:rsidR="006C6054" w:rsidRPr="006C6054" w:rsidRDefault="006C6054" w:rsidP="006C6054">
      <w:pPr>
        <w:jc w:val="center"/>
        <w:rPr>
          <w:rFonts w:ascii="Arial" w:hAnsi="Arial" w:cs="Arial"/>
          <w:b/>
          <w:bCs/>
          <w:sz w:val="44"/>
          <w:szCs w:val="44"/>
        </w:rPr>
      </w:pPr>
      <w:proofErr w:type="spellStart"/>
      <w:r w:rsidRPr="006C6054">
        <w:rPr>
          <w:rFonts w:ascii="Arial" w:hAnsi="Arial" w:cs="Arial"/>
          <w:b/>
          <w:bCs/>
          <w:sz w:val="44"/>
          <w:szCs w:val="44"/>
        </w:rPr>
        <w:t>Biosimilari</w:t>
      </w:r>
      <w:proofErr w:type="spellEnd"/>
      <w:r w:rsidRPr="006C6054">
        <w:rPr>
          <w:rFonts w:ascii="Arial" w:hAnsi="Arial" w:cs="Arial"/>
          <w:b/>
          <w:bCs/>
          <w:sz w:val="44"/>
          <w:szCs w:val="44"/>
        </w:rPr>
        <w:t>: le posizioni dell’AIFA sono la base di un confronto corretto</w:t>
      </w:r>
    </w:p>
    <w:p w:rsidR="006C6054" w:rsidRDefault="006C6054" w:rsidP="006C6054">
      <w:pPr>
        <w:jc w:val="center"/>
        <w:rPr>
          <w:rFonts w:ascii="Arial" w:hAnsi="Arial" w:cs="Arial"/>
          <w:bCs/>
        </w:rPr>
      </w:pPr>
    </w:p>
    <w:p w:rsidR="006C6054" w:rsidRPr="006C6054" w:rsidRDefault="006C6054" w:rsidP="006C6054">
      <w:pPr>
        <w:jc w:val="center"/>
        <w:rPr>
          <w:rFonts w:ascii="Arial" w:hAnsi="Arial" w:cs="Arial"/>
        </w:rPr>
      </w:pPr>
    </w:p>
    <w:p w:rsidR="006C6054" w:rsidRDefault="006C6054" w:rsidP="006C6054">
      <w:pPr>
        <w:jc w:val="center"/>
        <w:rPr>
          <w:rFonts w:ascii="Arial" w:hAnsi="Arial" w:cs="Arial"/>
          <w:i/>
          <w:iCs/>
        </w:rPr>
      </w:pPr>
      <w:r w:rsidRPr="006C6054">
        <w:rPr>
          <w:rFonts w:ascii="Arial" w:hAnsi="Arial" w:cs="Arial"/>
          <w:i/>
          <w:iCs/>
        </w:rPr>
        <w:t xml:space="preserve">Con il suo position </w:t>
      </w:r>
      <w:proofErr w:type="spellStart"/>
      <w:r w:rsidRPr="006C6054">
        <w:rPr>
          <w:rFonts w:ascii="Arial" w:hAnsi="Arial" w:cs="Arial"/>
          <w:i/>
          <w:iCs/>
        </w:rPr>
        <w:t>paper</w:t>
      </w:r>
      <w:proofErr w:type="spellEnd"/>
      <w:r w:rsidRPr="006C6054">
        <w:rPr>
          <w:rFonts w:ascii="Arial" w:hAnsi="Arial" w:cs="Arial"/>
          <w:i/>
          <w:iCs/>
        </w:rPr>
        <w:t>, l’Agenzia del farmaco ha definito in modo inequivocabile il ruolo di questi medicinali nel trattamento del paziente e nella razionalizzazione della spesa sanitaria. “Sull’oppor</w:t>
      </w:r>
      <w:r w:rsidR="00705E90">
        <w:rPr>
          <w:rFonts w:ascii="Arial" w:hAnsi="Arial" w:cs="Arial"/>
          <w:i/>
          <w:iCs/>
        </w:rPr>
        <w:t xml:space="preserve">tunità offerta dal </w:t>
      </w:r>
      <w:proofErr w:type="spellStart"/>
      <w:r w:rsidR="00705E90">
        <w:rPr>
          <w:rFonts w:ascii="Arial" w:hAnsi="Arial" w:cs="Arial"/>
          <w:i/>
          <w:iCs/>
        </w:rPr>
        <w:t>biosimilare</w:t>
      </w:r>
      <w:proofErr w:type="spellEnd"/>
      <w:r w:rsidR="00705E90">
        <w:rPr>
          <w:rFonts w:ascii="Arial" w:hAnsi="Arial" w:cs="Arial"/>
          <w:i/>
          <w:iCs/>
        </w:rPr>
        <w:t xml:space="preserve">” </w:t>
      </w:r>
      <w:r w:rsidRPr="006C6054">
        <w:rPr>
          <w:rFonts w:ascii="Arial" w:hAnsi="Arial" w:cs="Arial"/>
          <w:i/>
          <w:iCs/>
        </w:rPr>
        <w:t>dice il vicepresident</w:t>
      </w:r>
      <w:r w:rsidR="00705E90">
        <w:rPr>
          <w:rFonts w:ascii="Arial" w:hAnsi="Arial" w:cs="Arial"/>
          <w:i/>
          <w:iCs/>
        </w:rPr>
        <w:t xml:space="preserve">e Francesco </w:t>
      </w:r>
      <w:proofErr w:type="spellStart"/>
      <w:r w:rsidR="00705E90">
        <w:rPr>
          <w:rFonts w:ascii="Arial" w:hAnsi="Arial" w:cs="Arial"/>
          <w:i/>
          <w:iCs/>
        </w:rPr>
        <w:t>Colantuoni</w:t>
      </w:r>
      <w:proofErr w:type="spellEnd"/>
      <w:r w:rsidR="00705E90">
        <w:rPr>
          <w:rFonts w:ascii="Arial" w:hAnsi="Arial" w:cs="Arial"/>
          <w:i/>
          <w:iCs/>
        </w:rPr>
        <w:t xml:space="preserve"> </w:t>
      </w:r>
      <w:r w:rsidRPr="006C6054">
        <w:rPr>
          <w:rFonts w:ascii="Arial" w:hAnsi="Arial" w:cs="Arial"/>
          <w:i/>
          <w:iCs/>
        </w:rPr>
        <w:t>“deve ora aprirsi un confronto trasparente”</w:t>
      </w:r>
    </w:p>
    <w:p w:rsidR="00705E90" w:rsidRPr="006C6054" w:rsidRDefault="00705E90" w:rsidP="006C6054">
      <w:pPr>
        <w:jc w:val="center"/>
        <w:rPr>
          <w:rFonts w:ascii="Arial" w:hAnsi="Arial" w:cs="Arial"/>
        </w:rPr>
      </w:pPr>
    </w:p>
    <w:p w:rsidR="006C6054" w:rsidRPr="006C6054" w:rsidRDefault="006C6054" w:rsidP="006C6054">
      <w:pPr>
        <w:rPr>
          <w:rFonts w:ascii="Arial" w:hAnsi="Arial" w:cs="Arial"/>
        </w:rPr>
      </w:pPr>
      <w:r w:rsidRPr="006C6054">
        <w:rPr>
          <w:rFonts w:ascii="Arial" w:hAnsi="Arial" w:cs="Arial"/>
        </w:rPr>
        <w:t> </w:t>
      </w:r>
    </w:p>
    <w:p w:rsidR="006C6054" w:rsidRDefault="00705E90" w:rsidP="00705E90">
      <w:pPr>
        <w:jc w:val="both"/>
        <w:rPr>
          <w:rFonts w:ascii="Arial" w:hAnsi="Arial" w:cs="Arial"/>
          <w:bCs/>
        </w:rPr>
      </w:pPr>
      <w:r w:rsidRPr="00705E90">
        <w:rPr>
          <w:rFonts w:ascii="Arial" w:hAnsi="Arial" w:cs="Arial"/>
          <w:b/>
        </w:rPr>
        <w:t>Roma, 29 maggio 2013</w:t>
      </w:r>
      <w:r>
        <w:rPr>
          <w:rFonts w:ascii="Arial" w:hAnsi="Arial" w:cs="Arial"/>
        </w:rPr>
        <w:t xml:space="preserve"> - </w:t>
      </w:r>
      <w:r w:rsidR="006C6054" w:rsidRPr="006C6054">
        <w:rPr>
          <w:rFonts w:ascii="Arial" w:hAnsi="Arial" w:cs="Arial"/>
        </w:rPr>
        <w:t xml:space="preserve">“Il position </w:t>
      </w:r>
      <w:proofErr w:type="spellStart"/>
      <w:r w:rsidR="006C6054" w:rsidRPr="006C6054">
        <w:rPr>
          <w:rFonts w:ascii="Arial" w:hAnsi="Arial" w:cs="Arial"/>
        </w:rPr>
        <w:t>paper</w:t>
      </w:r>
      <w:proofErr w:type="spellEnd"/>
      <w:r w:rsidR="006C6054" w:rsidRPr="006C6054">
        <w:rPr>
          <w:rFonts w:ascii="Arial" w:hAnsi="Arial" w:cs="Arial"/>
        </w:rPr>
        <w:t xml:space="preserve"> sui </w:t>
      </w:r>
      <w:proofErr w:type="spellStart"/>
      <w:r w:rsidR="006C6054" w:rsidRPr="006C6054">
        <w:rPr>
          <w:rFonts w:ascii="Arial" w:hAnsi="Arial" w:cs="Arial"/>
        </w:rPr>
        <w:t>biosimilari</w:t>
      </w:r>
      <w:proofErr w:type="spellEnd"/>
      <w:r w:rsidR="006C6054" w:rsidRPr="006C6054">
        <w:rPr>
          <w:rFonts w:ascii="Arial" w:hAnsi="Arial" w:cs="Arial"/>
        </w:rPr>
        <w:t xml:space="preserve"> pubblicato dall’AIFA disegna al di là di ogni possibile dubbio quale sia il ruolo del </w:t>
      </w:r>
      <w:proofErr w:type="spellStart"/>
      <w:r w:rsidR="006C6054" w:rsidRPr="006C6054">
        <w:rPr>
          <w:rFonts w:ascii="Arial" w:hAnsi="Arial" w:cs="Arial"/>
        </w:rPr>
        <w:t>biosimilare</w:t>
      </w:r>
      <w:proofErr w:type="spellEnd"/>
      <w:r w:rsidR="006C6054" w:rsidRPr="006C6054">
        <w:rPr>
          <w:rFonts w:ascii="Arial" w:hAnsi="Arial" w:cs="Arial"/>
        </w:rPr>
        <w:t xml:space="preserve"> in terapia: un farmaco di alta tecnologia, capace di offrire un’alternativa efficace e sicura al farmaco originatore, che porta con sé i progressi nelle metodiche produttive realizzati negli ultimi vent’anni e consente evidenti economie al Servizio sanitario” dice </w:t>
      </w:r>
      <w:r w:rsidR="006C6054" w:rsidRPr="00B27895">
        <w:rPr>
          <w:rFonts w:ascii="Arial" w:hAnsi="Arial" w:cs="Arial"/>
          <w:b/>
        </w:rPr>
        <w:t xml:space="preserve">Francesco </w:t>
      </w:r>
      <w:proofErr w:type="spellStart"/>
      <w:r w:rsidR="006C6054" w:rsidRPr="00B27895">
        <w:rPr>
          <w:rFonts w:ascii="Arial" w:hAnsi="Arial" w:cs="Arial"/>
          <w:b/>
        </w:rPr>
        <w:t>Colantuoni</w:t>
      </w:r>
      <w:proofErr w:type="spellEnd"/>
      <w:r w:rsidR="006C6054" w:rsidRPr="00B27895">
        <w:rPr>
          <w:rFonts w:ascii="Arial" w:hAnsi="Arial" w:cs="Arial"/>
          <w:b/>
        </w:rPr>
        <w:t xml:space="preserve">, vicepresidente di </w:t>
      </w:r>
      <w:proofErr w:type="spellStart"/>
      <w:r w:rsidR="006C6054" w:rsidRPr="00B27895">
        <w:rPr>
          <w:rFonts w:ascii="Arial" w:hAnsi="Arial" w:cs="Arial"/>
          <w:b/>
        </w:rPr>
        <w:t>Assogenerici</w:t>
      </w:r>
      <w:proofErr w:type="spellEnd"/>
      <w:r w:rsidR="006C6054" w:rsidRPr="006C6054">
        <w:rPr>
          <w:rFonts w:ascii="Arial" w:hAnsi="Arial" w:cs="Arial"/>
        </w:rPr>
        <w:t xml:space="preserve">. “Mi auguro che il documento possa essere l’inizio di un ampliamento del confronto tra industria del </w:t>
      </w:r>
      <w:proofErr w:type="spellStart"/>
      <w:r w:rsidR="006C6054" w:rsidRPr="006C6054">
        <w:rPr>
          <w:rFonts w:ascii="Arial" w:hAnsi="Arial" w:cs="Arial"/>
        </w:rPr>
        <w:t>biosimilare</w:t>
      </w:r>
      <w:proofErr w:type="spellEnd"/>
      <w:r w:rsidR="006C6054" w:rsidRPr="006C6054">
        <w:rPr>
          <w:rFonts w:ascii="Arial" w:hAnsi="Arial" w:cs="Arial"/>
        </w:rPr>
        <w:t xml:space="preserve">, medici e aziende sanitarie sui temi centrali per l’impiego di qualsiasi farmaco: in primo luogo i fattori che determinano la scelta del curante ma anche quelli che determinano le politiche di acquisto da parte di ASL e ospedali” prosegue </w:t>
      </w:r>
      <w:proofErr w:type="spellStart"/>
      <w:r w:rsidR="006C6054" w:rsidRPr="006C6054">
        <w:rPr>
          <w:rFonts w:ascii="Arial" w:hAnsi="Arial" w:cs="Arial"/>
        </w:rPr>
        <w:t>Colantuoni</w:t>
      </w:r>
      <w:proofErr w:type="spellEnd"/>
      <w:r w:rsidR="006C6054" w:rsidRPr="006C6054">
        <w:rPr>
          <w:rFonts w:ascii="Arial" w:hAnsi="Arial" w:cs="Arial"/>
        </w:rPr>
        <w:t>. “Giustamente il direttore generale dell’AIFA</w:t>
      </w:r>
      <w:r w:rsidR="002F4300">
        <w:rPr>
          <w:rFonts w:ascii="Arial" w:hAnsi="Arial" w:cs="Arial"/>
        </w:rPr>
        <w:t>,</w:t>
      </w:r>
      <w:r w:rsidR="006C6054" w:rsidRPr="006C6054">
        <w:rPr>
          <w:rFonts w:ascii="Arial" w:hAnsi="Arial" w:cs="Arial"/>
        </w:rPr>
        <w:t xml:space="preserve"> professor Luca Pani, ha dichiarato che è strano come l’arrivo di un </w:t>
      </w:r>
      <w:r w:rsidR="006C6054" w:rsidRPr="006C6054">
        <w:rPr>
          <w:rFonts w:ascii="Arial" w:hAnsi="Arial" w:cs="Arial"/>
          <w:bCs/>
        </w:rPr>
        <w:t>generico</w:t>
      </w:r>
      <w:r w:rsidR="006C6054" w:rsidRPr="006C6054">
        <w:rPr>
          <w:rFonts w:ascii="Arial" w:hAnsi="Arial" w:cs="Arial"/>
        </w:rPr>
        <w:t xml:space="preserve"> in Italia</w:t>
      </w:r>
      <w:r w:rsidR="006C6054" w:rsidRPr="006C6054">
        <w:rPr>
          <w:rFonts w:ascii="Arial" w:hAnsi="Arial" w:cs="Arial"/>
          <w:bCs/>
        </w:rPr>
        <w:t xml:space="preserve"> - ma altrettanto si potrebbe dire per il </w:t>
      </w:r>
      <w:proofErr w:type="spellStart"/>
      <w:r w:rsidR="006C6054" w:rsidRPr="006C6054">
        <w:rPr>
          <w:rFonts w:ascii="Arial" w:hAnsi="Arial" w:cs="Arial"/>
        </w:rPr>
        <w:t>biosimilare</w:t>
      </w:r>
      <w:proofErr w:type="spellEnd"/>
      <w:r w:rsidR="006C6054" w:rsidRPr="006C6054">
        <w:rPr>
          <w:rFonts w:ascii="Arial" w:hAnsi="Arial" w:cs="Arial"/>
          <w:bCs/>
        </w:rPr>
        <w:t xml:space="preserve">, prosegue </w:t>
      </w:r>
      <w:proofErr w:type="spellStart"/>
      <w:r w:rsidR="006C6054" w:rsidRPr="006C6054">
        <w:rPr>
          <w:rFonts w:ascii="Arial" w:hAnsi="Arial" w:cs="Arial"/>
          <w:bCs/>
        </w:rPr>
        <w:t>Colantuoni</w:t>
      </w:r>
      <w:proofErr w:type="spellEnd"/>
      <w:r w:rsidR="006C6054" w:rsidRPr="006C6054">
        <w:rPr>
          <w:rFonts w:ascii="Arial" w:hAnsi="Arial" w:cs="Arial"/>
          <w:bCs/>
        </w:rPr>
        <w:t xml:space="preserve"> - </w:t>
      </w:r>
      <w:r w:rsidR="006C6054" w:rsidRPr="006C6054">
        <w:rPr>
          <w:rFonts w:ascii="Arial" w:hAnsi="Arial" w:cs="Arial"/>
        </w:rPr>
        <w:t> si</w:t>
      </w:r>
      <w:r w:rsidR="006C6054" w:rsidRPr="006C6054">
        <w:rPr>
          <w:rFonts w:ascii="Arial" w:hAnsi="Arial" w:cs="Arial"/>
          <w:bCs/>
        </w:rPr>
        <w:t>a</w:t>
      </w:r>
      <w:r w:rsidR="006C6054" w:rsidRPr="006C6054">
        <w:rPr>
          <w:rFonts w:ascii="Arial" w:hAnsi="Arial" w:cs="Arial"/>
        </w:rPr>
        <w:t xml:space="preserve"> seguito da una prima penetrazione che poi si arresta, a differenza di quanto accade praticamente ovunque. A nostro avviso</w:t>
      </w:r>
      <w:r w:rsidR="006C2C52">
        <w:rPr>
          <w:rFonts w:ascii="Arial" w:hAnsi="Arial" w:cs="Arial"/>
        </w:rPr>
        <w:t>,</w:t>
      </w:r>
      <w:r w:rsidR="006C6054" w:rsidRPr="006C6054">
        <w:rPr>
          <w:rFonts w:ascii="Arial" w:hAnsi="Arial" w:cs="Arial"/>
        </w:rPr>
        <w:t xml:space="preserve"> ciò è dovuto a questa mancanza di discussione aperta sui temi che indicavo”. Unica zona d’ombra del documento, “il permanere di una certa ambiguità sul meccanismo di determinazione del prezzo che, sulla base della linea adottata dall’allora Ministro della Salute </w:t>
      </w:r>
      <w:proofErr w:type="spellStart"/>
      <w:r w:rsidR="006C6054" w:rsidRPr="006C6054">
        <w:rPr>
          <w:rFonts w:ascii="Arial" w:hAnsi="Arial" w:cs="Arial"/>
        </w:rPr>
        <w:t>Balduzzi</w:t>
      </w:r>
      <w:proofErr w:type="spellEnd"/>
      <w:r w:rsidR="006C6054" w:rsidRPr="006C6054">
        <w:rPr>
          <w:rFonts w:ascii="Arial" w:hAnsi="Arial" w:cs="Arial"/>
        </w:rPr>
        <w:t xml:space="preserve">, viene assimilata a quella del generico. Ha un senso chiedere che per l’equivalente si abbassi in misura molto rilevante il prezzo rispetto a quello del </w:t>
      </w:r>
      <w:proofErr w:type="spellStart"/>
      <w:r w:rsidR="006C6054" w:rsidRPr="006C6054">
        <w:rPr>
          <w:rFonts w:ascii="Arial" w:hAnsi="Arial" w:cs="Arial"/>
        </w:rPr>
        <w:t>branded</w:t>
      </w:r>
      <w:proofErr w:type="spellEnd"/>
      <w:r w:rsidR="006C6054" w:rsidRPr="006C6054">
        <w:rPr>
          <w:rFonts w:ascii="Arial" w:hAnsi="Arial" w:cs="Arial"/>
        </w:rPr>
        <w:t xml:space="preserve">, </w:t>
      </w:r>
      <w:r w:rsidR="006C6054" w:rsidRPr="006C6054">
        <w:rPr>
          <w:rFonts w:ascii="Arial" w:hAnsi="Arial" w:cs="Arial"/>
          <w:bCs/>
        </w:rPr>
        <w:t xml:space="preserve">perché poi interviene il meccanismo della sostituzione in farmacia, cosa che non vale per i </w:t>
      </w:r>
      <w:proofErr w:type="spellStart"/>
      <w:r w:rsidR="006C6054" w:rsidRPr="006C6054">
        <w:rPr>
          <w:rFonts w:ascii="Arial" w:hAnsi="Arial" w:cs="Arial"/>
          <w:bCs/>
        </w:rPr>
        <w:t>biosimilari</w:t>
      </w:r>
      <w:proofErr w:type="spellEnd"/>
      <w:r w:rsidR="006C6054" w:rsidRPr="006C6054">
        <w:rPr>
          <w:rFonts w:ascii="Arial" w:hAnsi="Arial" w:cs="Arial"/>
          <w:bCs/>
        </w:rPr>
        <w:t>, acquistati invece attraverso gare</w:t>
      </w:r>
      <w:r w:rsidR="006C6054" w:rsidRPr="006C6054">
        <w:rPr>
          <w:rFonts w:ascii="Arial" w:hAnsi="Arial" w:cs="Arial"/>
        </w:rPr>
        <w:t xml:space="preserve">. </w:t>
      </w:r>
      <w:r w:rsidR="006C6054" w:rsidRPr="006C6054">
        <w:rPr>
          <w:rFonts w:ascii="Arial" w:hAnsi="Arial" w:cs="Arial"/>
          <w:bCs/>
        </w:rPr>
        <w:t xml:space="preserve">In questo modo non viene riconosciuto il </w:t>
      </w:r>
      <w:proofErr w:type="spellStart"/>
      <w:r w:rsidR="006C6054" w:rsidRPr="00256F86">
        <w:rPr>
          <w:rFonts w:ascii="Arial" w:hAnsi="Arial" w:cs="Arial"/>
          <w:bCs/>
        </w:rPr>
        <w:t>know</w:t>
      </w:r>
      <w:proofErr w:type="spellEnd"/>
      <w:r w:rsidR="006C6054" w:rsidRPr="00256F86">
        <w:rPr>
          <w:rFonts w:ascii="Arial" w:hAnsi="Arial" w:cs="Arial"/>
          <w:bCs/>
        </w:rPr>
        <w:t xml:space="preserve"> </w:t>
      </w:r>
      <w:proofErr w:type="spellStart"/>
      <w:r w:rsidR="006C6054" w:rsidRPr="00256F86">
        <w:rPr>
          <w:rFonts w:ascii="Arial" w:hAnsi="Arial" w:cs="Arial"/>
          <w:bCs/>
        </w:rPr>
        <w:t>how</w:t>
      </w:r>
      <w:proofErr w:type="spellEnd"/>
      <w:r w:rsidR="006C6054" w:rsidRPr="00256F86">
        <w:rPr>
          <w:rFonts w:ascii="Arial" w:hAnsi="Arial" w:cs="Arial"/>
          <w:bCs/>
        </w:rPr>
        <w:t xml:space="preserve"> e gli investimenti di chi sviluppa un nuovo biotecnologico </w:t>
      </w:r>
      <w:proofErr w:type="spellStart"/>
      <w:r w:rsidR="006C6054" w:rsidRPr="00256F86">
        <w:rPr>
          <w:rFonts w:ascii="Arial" w:hAnsi="Arial" w:cs="Arial"/>
          <w:bCs/>
        </w:rPr>
        <w:t>biosimilare</w:t>
      </w:r>
      <w:proofErr w:type="spellEnd"/>
      <w:r w:rsidR="006C6054" w:rsidRPr="00256F86">
        <w:rPr>
          <w:rFonts w:ascii="Arial" w:hAnsi="Arial" w:cs="Arial"/>
          <w:bCs/>
        </w:rPr>
        <w:t>, che notoriamente ha costi</w:t>
      </w:r>
      <w:r w:rsidR="006C6054" w:rsidRPr="006C6054">
        <w:rPr>
          <w:rFonts w:ascii="Arial" w:hAnsi="Arial" w:cs="Arial"/>
          <w:bCs/>
        </w:rPr>
        <w:t xml:space="preserve"> di sviluppo di gran lunga superiori a quelli di un generico equivalente</w:t>
      </w:r>
      <w:r w:rsidR="006C6054" w:rsidRPr="006C6054">
        <w:rPr>
          <w:rFonts w:ascii="Arial" w:hAnsi="Arial" w:cs="Arial"/>
        </w:rPr>
        <w:t>. Non credo sia questo l’interesse del decisore sanitario e tantomeno della collettività</w:t>
      </w:r>
      <w:r w:rsidR="006C6054" w:rsidRPr="006C6054">
        <w:rPr>
          <w:rFonts w:ascii="Arial" w:hAnsi="Arial" w:cs="Arial"/>
          <w:bCs/>
        </w:rPr>
        <w:t xml:space="preserve">, cioè di frenare lo sviluppo dei </w:t>
      </w:r>
      <w:proofErr w:type="spellStart"/>
      <w:r w:rsidR="006C6054" w:rsidRPr="006C6054">
        <w:rPr>
          <w:rFonts w:ascii="Arial" w:hAnsi="Arial" w:cs="Arial"/>
          <w:bCs/>
        </w:rPr>
        <w:t>biosimilari</w:t>
      </w:r>
      <w:proofErr w:type="spellEnd"/>
      <w:r w:rsidR="006C6054" w:rsidRPr="006C6054">
        <w:rPr>
          <w:rFonts w:ascii="Arial" w:hAnsi="Arial" w:cs="Arial"/>
        </w:rPr>
        <w:t xml:space="preserve">” conclude </w:t>
      </w:r>
      <w:proofErr w:type="spellStart"/>
      <w:r w:rsidR="006C6054" w:rsidRPr="006C6054">
        <w:rPr>
          <w:rFonts w:ascii="Arial" w:hAnsi="Arial" w:cs="Arial"/>
        </w:rPr>
        <w:t>C</w:t>
      </w:r>
      <w:r w:rsidR="006C6054" w:rsidRPr="006C6054">
        <w:rPr>
          <w:rFonts w:ascii="Arial" w:hAnsi="Arial" w:cs="Arial"/>
          <w:bCs/>
        </w:rPr>
        <w:t>olantuoni</w:t>
      </w:r>
      <w:proofErr w:type="spellEnd"/>
      <w:r w:rsidR="006C6054" w:rsidRPr="006C6054">
        <w:rPr>
          <w:rFonts w:ascii="Arial" w:hAnsi="Arial" w:cs="Arial"/>
          <w:bCs/>
        </w:rPr>
        <w:t>.</w:t>
      </w:r>
    </w:p>
    <w:p w:rsidR="00960190" w:rsidRDefault="00960190" w:rsidP="00705E90">
      <w:pPr>
        <w:jc w:val="both"/>
        <w:rPr>
          <w:rFonts w:ascii="Arial" w:hAnsi="Arial" w:cs="Arial"/>
          <w:bCs/>
        </w:rPr>
      </w:pPr>
    </w:p>
    <w:p w:rsidR="00960190" w:rsidRDefault="00960190" w:rsidP="00705E90">
      <w:pPr>
        <w:jc w:val="both"/>
        <w:rPr>
          <w:rFonts w:ascii="Arial" w:hAnsi="Arial" w:cs="Arial"/>
          <w:bCs/>
        </w:rPr>
      </w:pPr>
    </w:p>
    <w:p w:rsidR="00396B6F" w:rsidRPr="00960190" w:rsidRDefault="00396B6F" w:rsidP="00705E90">
      <w:pPr>
        <w:jc w:val="both"/>
        <w:rPr>
          <w:rFonts w:ascii="Arial" w:hAnsi="Arial" w:cs="Arial"/>
          <w:bCs/>
        </w:rPr>
      </w:pPr>
    </w:p>
    <w:p w:rsidR="006C6054" w:rsidRPr="00960190" w:rsidRDefault="00960190" w:rsidP="00960190">
      <w:pPr>
        <w:pStyle w:val="NormaleWeb"/>
        <w:spacing w:after="240" w:afterAutospacing="0"/>
        <w:rPr>
          <w:sz w:val="22"/>
          <w:szCs w:val="22"/>
        </w:rPr>
      </w:pPr>
      <w:r w:rsidRPr="00960190">
        <w:rPr>
          <w:rStyle w:val="Enfasigrassetto"/>
          <w:rFonts w:ascii="Arial" w:hAnsi="Arial" w:cs="Arial"/>
          <w:sz w:val="22"/>
          <w:szCs w:val="22"/>
        </w:rPr>
        <w:t>Per ulteriori informazioni:</w:t>
      </w:r>
      <w:r w:rsidRPr="00960190">
        <w:rPr>
          <w:rFonts w:ascii="Arial" w:hAnsi="Arial" w:cs="Arial"/>
          <w:sz w:val="22"/>
          <w:szCs w:val="22"/>
        </w:rPr>
        <w:br/>
      </w:r>
      <w:r w:rsidRPr="00960190">
        <w:rPr>
          <w:rFonts w:ascii="Arial" w:hAnsi="Arial" w:cs="Arial"/>
          <w:noProof/>
          <w:sz w:val="22"/>
          <w:szCs w:val="22"/>
        </w:rPr>
        <w:drawing>
          <wp:inline distT="0" distB="0" distL="0" distR="0">
            <wp:extent cx="1066800" cy="123825"/>
            <wp:effectExtent l="19050" t="0" r="0" b="0"/>
            <wp:docPr id="4" name="Immagine 4" descr="http://newsletter.vrelations.it/userfiles/LOGOVR(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35).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960190">
        <w:rPr>
          <w:rFonts w:ascii="Arial" w:hAnsi="Arial" w:cs="Arial"/>
          <w:sz w:val="22"/>
          <w:szCs w:val="22"/>
        </w:rPr>
        <w:br/>
        <w:t>Ufficio Stampa AssoGenerici</w:t>
      </w:r>
      <w:r w:rsidRPr="00960190">
        <w:rPr>
          <w:rFonts w:ascii="Arial" w:hAnsi="Arial" w:cs="Arial"/>
          <w:sz w:val="22"/>
          <w:szCs w:val="22"/>
        </w:rPr>
        <w:br/>
        <w:t>tel. 02/20.24.13.57</w:t>
      </w:r>
      <w:r w:rsidRPr="00960190">
        <w:rPr>
          <w:rFonts w:ascii="Arial" w:hAnsi="Arial" w:cs="Arial"/>
          <w:sz w:val="22"/>
          <w:szCs w:val="22"/>
        </w:rPr>
        <w:br/>
        <w:t>Massimo Cherubini - cellulare 335/82.31.700</w:t>
      </w:r>
      <w:r w:rsidRPr="00960190">
        <w:rPr>
          <w:rFonts w:ascii="Arial" w:hAnsi="Arial" w:cs="Arial"/>
          <w:sz w:val="22"/>
          <w:szCs w:val="22"/>
        </w:rPr>
        <w:br/>
        <w:t xml:space="preserve">e-mail: </w:t>
      </w:r>
      <w:hyperlink r:id="rId6" w:history="1">
        <w:r w:rsidRPr="00960190">
          <w:rPr>
            <w:rStyle w:val="Collegamentoipertestuale"/>
            <w:rFonts w:ascii="Arial" w:hAnsi="Arial" w:cs="Arial"/>
            <w:sz w:val="22"/>
            <w:szCs w:val="22"/>
          </w:rPr>
          <w:t>m.cherubini@vrelations.it</w:t>
        </w:r>
      </w:hyperlink>
      <w:r w:rsidRPr="00960190">
        <w:rPr>
          <w:rFonts w:ascii="Arial" w:hAnsi="Arial" w:cs="Arial"/>
          <w:sz w:val="22"/>
          <w:szCs w:val="22"/>
        </w:rPr>
        <w:br/>
      </w:r>
      <w:r w:rsidR="006C6054">
        <w:t> </w:t>
      </w:r>
    </w:p>
    <w:p w:rsidR="00CD32C6" w:rsidRDefault="00CD32C6"/>
    <w:sectPr w:rsidR="00CD32C6" w:rsidSect="00CD32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6054"/>
    <w:rsid w:val="00256F86"/>
    <w:rsid w:val="002F4300"/>
    <w:rsid w:val="00396B6F"/>
    <w:rsid w:val="006C2C52"/>
    <w:rsid w:val="006C6054"/>
    <w:rsid w:val="00705E90"/>
    <w:rsid w:val="00960190"/>
    <w:rsid w:val="00960DD6"/>
    <w:rsid w:val="00B27895"/>
    <w:rsid w:val="00CD32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054"/>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60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054"/>
    <w:rPr>
      <w:rFonts w:ascii="Tahoma" w:hAnsi="Tahoma" w:cs="Tahoma"/>
      <w:sz w:val="16"/>
      <w:szCs w:val="16"/>
      <w:lang w:eastAsia="it-IT"/>
    </w:rPr>
  </w:style>
  <w:style w:type="character" w:styleId="Collegamentoipertestuale">
    <w:name w:val="Hyperlink"/>
    <w:basedOn w:val="Carpredefinitoparagrafo"/>
    <w:uiPriority w:val="99"/>
    <w:semiHidden/>
    <w:unhideWhenUsed/>
    <w:rsid w:val="00960190"/>
    <w:rPr>
      <w:color w:val="0000FF"/>
      <w:u w:val="single"/>
    </w:rPr>
  </w:style>
  <w:style w:type="paragraph" w:styleId="NormaleWeb">
    <w:name w:val="Normal (Web)"/>
    <w:basedOn w:val="Normale"/>
    <w:uiPriority w:val="99"/>
    <w:unhideWhenUsed/>
    <w:rsid w:val="00960190"/>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960190"/>
    <w:rPr>
      <w:b/>
      <w:bCs/>
    </w:rPr>
  </w:style>
</w:styles>
</file>

<file path=word/webSettings.xml><?xml version="1.0" encoding="utf-8"?>
<w:webSettings xmlns:r="http://schemas.openxmlformats.org/officeDocument/2006/relationships" xmlns:w="http://schemas.openxmlformats.org/wordprocessingml/2006/main">
  <w:divs>
    <w:div w:id="228083038">
      <w:bodyDiv w:val="1"/>
      <w:marLeft w:val="0"/>
      <w:marRight w:val="0"/>
      <w:marTop w:val="0"/>
      <w:marBottom w:val="0"/>
      <w:divBdr>
        <w:top w:val="none" w:sz="0" w:space="0" w:color="auto"/>
        <w:left w:val="none" w:sz="0" w:space="0" w:color="auto"/>
        <w:bottom w:val="none" w:sz="0" w:space="0" w:color="auto"/>
        <w:right w:val="none" w:sz="0" w:space="0" w:color="auto"/>
      </w:divBdr>
    </w:div>
    <w:div w:id="3485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10</cp:revision>
  <dcterms:created xsi:type="dcterms:W3CDTF">2013-05-29T09:40:00Z</dcterms:created>
  <dcterms:modified xsi:type="dcterms:W3CDTF">2013-05-29T09:45:00Z</dcterms:modified>
</cp:coreProperties>
</file>